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32A3" w14:textId="0DC71989" w:rsidR="00FD4566" w:rsidRPr="006059C0" w:rsidRDefault="00D51724" w:rsidP="007A3967">
      <w:pPr>
        <w:rPr>
          <w:rFonts w:ascii="Trebuchet MS" w:hAnsi="Trebuchet MS" w:cs="Times New Roman"/>
          <w:i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4B1BB6C3" wp14:editId="0FDB83D5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642235" cy="667385"/>
            <wp:effectExtent l="0" t="0" r="0" b="0"/>
            <wp:wrapTight wrapText="bothSides">
              <wp:wrapPolygon edited="0">
                <wp:start x="1869" y="4316"/>
                <wp:lineTo x="1246" y="8632"/>
                <wp:lineTo x="1090" y="10481"/>
                <wp:lineTo x="1402" y="16030"/>
                <wp:lineTo x="16508" y="16030"/>
                <wp:lineTo x="20557" y="13564"/>
                <wp:lineTo x="20245" y="7399"/>
                <wp:lineTo x="2647" y="4316"/>
                <wp:lineTo x="1869" y="4316"/>
              </wp:wrapPolygon>
            </wp:wrapTight>
            <wp:docPr id="5" name="Bristol Myers Squibb" descr="Bristol Myers Squibb">
              <a:extLst xmlns:a="http://schemas.openxmlformats.org/drawingml/2006/main">
                <a:ext uri="{FF2B5EF4-FFF2-40B4-BE49-F238E27FC236}">
                  <a16:creationId xmlns:a16="http://schemas.microsoft.com/office/drawing/2014/main" id="{B7697988-37C6-7C4A-AA57-C36971D11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stol Myers Squibb" descr="Bristol Myers Squibb">
                      <a:extLst>
                        <a:ext uri="{FF2B5EF4-FFF2-40B4-BE49-F238E27FC236}">
                          <a16:creationId xmlns:a16="http://schemas.microsoft.com/office/drawing/2014/main" id="{B7697988-37C6-7C4A-AA57-C36971D11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black">
                    <a:xfrm>
                      <a:off x="0" y="0"/>
                      <a:ext cx="264223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323D7" w14:textId="77777777" w:rsidR="00A61E66" w:rsidRDefault="00A61E66" w:rsidP="00A61E66">
      <w:pPr>
        <w:pStyle w:val="Akapitzlist"/>
        <w:ind w:left="1440"/>
        <w:rPr>
          <w:rFonts w:ascii="Trebuchet MS" w:hAnsi="Trebuchet MS"/>
          <w:b/>
          <w:i/>
          <w:sz w:val="24"/>
          <w:szCs w:val="24"/>
        </w:rPr>
      </w:pPr>
    </w:p>
    <w:p w14:paraId="5F156621" w14:textId="6C8570EF" w:rsidR="00A61E66" w:rsidRPr="00A61E66" w:rsidRDefault="00DD6BB2" w:rsidP="00A61E66">
      <w:pPr>
        <w:pStyle w:val="Akapitzlist"/>
        <w:ind w:left="1440"/>
        <w:rPr>
          <w:rFonts w:ascii="Trebuchet MS" w:hAnsi="Trebuchet MS"/>
          <w:b/>
          <w:i/>
          <w:sz w:val="24"/>
          <w:szCs w:val="24"/>
        </w:rPr>
      </w:pPr>
      <w:r w:rsidRPr="00A61E66">
        <w:rPr>
          <w:rFonts w:ascii="Trebuchet MS" w:hAnsi="Trebuchet MS"/>
          <w:b/>
          <w:i/>
          <w:sz w:val="24"/>
          <w:szCs w:val="24"/>
        </w:rPr>
        <w:t>ASCO 2020</w:t>
      </w:r>
      <w:r>
        <w:rPr>
          <w:rFonts w:ascii="Trebuchet MS" w:hAnsi="Trebuchet MS"/>
          <w:b/>
          <w:i/>
          <w:sz w:val="24"/>
          <w:szCs w:val="24"/>
        </w:rPr>
        <w:t xml:space="preserve">: </w:t>
      </w:r>
      <w:r w:rsidR="00A61E66" w:rsidRPr="00A61E66">
        <w:rPr>
          <w:rFonts w:ascii="Trebuchet MS" w:hAnsi="Trebuchet MS"/>
          <w:b/>
          <w:i/>
          <w:sz w:val="24"/>
          <w:szCs w:val="24"/>
        </w:rPr>
        <w:t xml:space="preserve">Pierwsze wyniki z badania </w:t>
      </w:r>
      <w:proofErr w:type="spellStart"/>
      <w:r w:rsidR="00A61E66" w:rsidRPr="00A61E66">
        <w:rPr>
          <w:rFonts w:ascii="Trebuchet MS" w:hAnsi="Trebuchet MS"/>
          <w:b/>
          <w:i/>
          <w:sz w:val="24"/>
          <w:szCs w:val="24"/>
        </w:rPr>
        <w:t>CheckMate</w:t>
      </w:r>
      <w:proofErr w:type="spellEnd"/>
      <w:r w:rsidR="00A61E66" w:rsidRPr="00A61E66">
        <w:rPr>
          <w:rFonts w:ascii="Trebuchet MS" w:hAnsi="Trebuchet MS"/>
          <w:b/>
          <w:i/>
          <w:sz w:val="24"/>
          <w:szCs w:val="24"/>
        </w:rPr>
        <w:t xml:space="preserve"> -9LA </w:t>
      </w:r>
      <w:bookmarkStart w:id="0" w:name="_GoBack"/>
      <w:bookmarkEnd w:id="0"/>
    </w:p>
    <w:p w14:paraId="3A155CB8" w14:textId="77777777" w:rsidR="00A61E66" w:rsidRPr="00A61E66" w:rsidRDefault="00A61E66" w:rsidP="00A61E66">
      <w:pPr>
        <w:pStyle w:val="Akapitzlist"/>
        <w:ind w:left="1440"/>
        <w:rPr>
          <w:rFonts w:ascii="Trebuchet MS" w:hAnsi="Trebuchet MS" w:cs="Times New Roman"/>
          <w:b/>
        </w:rPr>
      </w:pPr>
    </w:p>
    <w:p w14:paraId="7D3BFB7C" w14:textId="77777777" w:rsidR="00A61E66" w:rsidRPr="00A61E66" w:rsidRDefault="00A61E66" w:rsidP="00A61E66">
      <w:pPr>
        <w:pStyle w:val="Akapitzlist"/>
        <w:ind w:left="1440"/>
        <w:jc w:val="both"/>
        <w:rPr>
          <w:rFonts w:ascii="Trebuchet MS" w:hAnsi="Trebuchet MS" w:cs="Times New Roman"/>
          <w:b/>
        </w:rPr>
      </w:pPr>
    </w:p>
    <w:p w14:paraId="5EE1604C" w14:textId="6092DD2D" w:rsidR="00792EEB" w:rsidRPr="00A61E66" w:rsidRDefault="006B6D0A" w:rsidP="00A61E66">
      <w:pPr>
        <w:pStyle w:val="Akapitzlist"/>
        <w:numPr>
          <w:ilvl w:val="0"/>
          <w:numId w:val="7"/>
        </w:numPr>
        <w:jc w:val="both"/>
        <w:rPr>
          <w:rFonts w:ascii="Trebuchet MS" w:hAnsi="Trebuchet MS" w:cs="Times New Roman"/>
          <w:b/>
        </w:rPr>
      </w:pPr>
      <w:r w:rsidRPr="00A61E66">
        <w:rPr>
          <w:rFonts w:ascii="Trebuchet MS" w:hAnsi="Trebuchet MS"/>
          <w:b/>
        </w:rPr>
        <w:t xml:space="preserve">W badaniu </w:t>
      </w:r>
      <w:proofErr w:type="spellStart"/>
      <w:r w:rsidRPr="00A61E66">
        <w:rPr>
          <w:rFonts w:ascii="Trebuchet MS" w:hAnsi="Trebuchet MS"/>
          <w:b/>
        </w:rPr>
        <w:t>CheckMate</w:t>
      </w:r>
      <w:proofErr w:type="spellEnd"/>
      <w:r w:rsidRPr="00A61E66">
        <w:rPr>
          <w:rFonts w:ascii="Trebuchet MS" w:hAnsi="Trebuchet MS"/>
          <w:b/>
        </w:rPr>
        <w:t xml:space="preserve"> -9LA wykazano, że </w:t>
      </w:r>
      <w:proofErr w:type="spellStart"/>
      <w:r w:rsidR="00A9443B" w:rsidRPr="00A61E66">
        <w:rPr>
          <w:rFonts w:ascii="Trebuchet MS" w:hAnsi="Trebuchet MS"/>
          <w:b/>
        </w:rPr>
        <w:t>n</w:t>
      </w:r>
      <w:r w:rsidR="00792EEB" w:rsidRPr="00A61E66">
        <w:rPr>
          <w:rFonts w:ascii="Trebuchet MS" w:hAnsi="Trebuchet MS"/>
          <w:b/>
        </w:rPr>
        <w:t>iwolumab</w:t>
      </w:r>
      <w:proofErr w:type="spellEnd"/>
      <w:r w:rsidR="00792EEB" w:rsidRPr="00A61E66">
        <w:rPr>
          <w:rFonts w:ascii="Trebuchet MS" w:hAnsi="Trebuchet MS"/>
          <w:b/>
        </w:rPr>
        <w:t xml:space="preserve"> w skojarz</w:t>
      </w:r>
      <w:r w:rsidRPr="00A61E66">
        <w:rPr>
          <w:rFonts w:ascii="Trebuchet MS" w:hAnsi="Trebuchet MS"/>
          <w:b/>
        </w:rPr>
        <w:t xml:space="preserve">eniu z </w:t>
      </w:r>
      <w:proofErr w:type="spellStart"/>
      <w:r w:rsidRPr="00A61E66">
        <w:rPr>
          <w:rFonts w:ascii="Trebuchet MS" w:hAnsi="Trebuchet MS"/>
          <w:b/>
        </w:rPr>
        <w:t>ipilimumabem</w:t>
      </w:r>
      <w:proofErr w:type="spellEnd"/>
      <w:r w:rsidRPr="00A61E66">
        <w:rPr>
          <w:rFonts w:ascii="Trebuchet MS" w:hAnsi="Trebuchet MS"/>
          <w:b/>
        </w:rPr>
        <w:t xml:space="preserve"> oraz </w:t>
      </w:r>
      <w:r w:rsidR="00792EEB" w:rsidRPr="00A61E66">
        <w:rPr>
          <w:rFonts w:ascii="Trebuchet MS" w:hAnsi="Trebuchet MS"/>
          <w:b/>
        </w:rPr>
        <w:t xml:space="preserve">chemioterapią </w:t>
      </w:r>
      <w:r w:rsidR="00BB338C" w:rsidRPr="00A61E66">
        <w:rPr>
          <w:rFonts w:ascii="Trebuchet MS" w:hAnsi="Trebuchet MS"/>
          <w:b/>
        </w:rPr>
        <w:t xml:space="preserve">znacząco </w:t>
      </w:r>
      <w:r w:rsidR="00792EEB" w:rsidRPr="00A61E66">
        <w:rPr>
          <w:rFonts w:ascii="Trebuchet MS" w:hAnsi="Trebuchet MS"/>
          <w:b/>
        </w:rPr>
        <w:t xml:space="preserve">wydłuża przeżycie całkowite w porównaniu z samą chemioterapią u pacjentów w pierwszej linii leczenia przerzutowego </w:t>
      </w:r>
      <w:proofErr w:type="spellStart"/>
      <w:r w:rsidR="00792EEB" w:rsidRPr="00A61E66">
        <w:rPr>
          <w:rFonts w:ascii="Trebuchet MS" w:hAnsi="Trebuchet MS"/>
          <w:b/>
        </w:rPr>
        <w:t>niedrobnokomórkowego</w:t>
      </w:r>
      <w:proofErr w:type="spellEnd"/>
      <w:r w:rsidR="00792EEB" w:rsidRPr="00A61E66">
        <w:rPr>
          <w:rFonts w:ascii="Trebuchet MS" w:hAnsi="Trebuchet MS"/>
          <w:b/>
        </w:rPr>
        <w:t xml:space="preserve"> raka płuca</w:t>
      </w:r>
      <w:r w:rsidRPr="00A61E66">
        <w:rPr>
          <w:rFonts w:ascii="Trebuchet MS" w:hAnsi="Trebuchet MS"/>
          <w:b/>
        </w:rPr>
        <w:t xml:space="preserve">.  </w:t>
      </w:r>
    </w:p>
    <w:p w14:paraId="388714AF" w14:textId="3B76C0E4" w:rsidR="00792EEB" w:rsidRPr="00A61E66" w:rsidRDefault="008C3609" w:rsidP="00A61E66">
      <w:pPr>
        <w:pStyle w:val="Akapitzlist"/>
        <w:numPr>
          <w:ilvl w:val="0"/>
          <w:numId w:val="7"/>
        </w:numPr>
        <w:jc w:val="both"/>
        <w:rPr>
          <w:rFonts w:ascii="Trebuchet MS" w:hAnsi="Trebuchet MS" w:cstheme="minorHAnsi"/>
          <w:b/>
          <w:i/>
          <w:color w:val="000000" w:themeColor="text1"/>
        </w:rPr>
      </w:pPr>
      <w:r w:rsidRPr="00A61E66">
        <w:rPr>
          <w:rFonts w:ascii="Trebuchet MS" w:hAnsi="Trebuchet MS"/>
          <w:b/>
          <w:i/>
          <w:iCs/>
          <w:color w:val="000000" w:themeColor="text1"/>
        </w:rPr>
        <w:t>W analizie pośredniej wykazano wy</w:t>
      </w:r>
      <w:r w:rsidRPr="00A61E66">
        <w:rPr>
          <w:rFonts w:ascii="Trebuchet MS" w:hAnsi="Trebuchet MS"/>
          <w:b/>
          <w:color w:val="000000" w:themeColor="text1"/>
        </w:rPr>
        <w:t xml:space="preserve">dłużenie </w:t>
      </w:r>
      <w:r w:rsidRPr="00A61E66">
        <w:rPr>
          <w:rFonts w:ascii="Trebuchet MS" w:hAnsi="Trebuchet MS"/>
          <w:b/>
          <w:i/>
          <w:iCs/>
          <w:color w:val="000000" w:themeColor="text1"/>
        </w:rPr>
        <w:t xml:space="preserve">przeżycia całkowitego przy zastosowaniu </w:t>
      </w:r>
      <w:proofErr w:type="spellStart"/>
      <w:r w:rsidRPr="00A61E66">
        <w:rPr>
          <w:rFonts w:ascii="Trebuchet MS" w:hAnsi="Trebuchet MS"/>
          <w:b/>
          <w:i/>
          <w:iCs/>
          <w:color w:val="000000" w:themeColor="text1"/>
        </w:rPr>
        <w:t>niwolumabu</w:t>
      </w:r>
      <w:proofErr w:type="spellEnd"/>
      <w:r w:rsidRPr="00A61E66">
        <w:rPr>
          <w:rFonts w:ascii="Trebuchet MS" w:hAnsi="Trebuchet MS"/>
          <w:b/>
          <w:i/>
          <w:iCs/>
          <w:color w:val="000000" w:themeColor="text1"/>
        </w:rPr>
        <w:t xml:space="preserve"> w skojarzeniu </w:t>
      </w:r>
      <w:proofErr w:type="spellStart"/>
      <w:r w:rsidRPr="00A61E66">
        <w:rPr>
          <w:rFonts w:ascii="Trebuchet MS" w:hAnsi="Trebuchet MS"/>
          <w:b/>
          <w:i/>
          <w:iCs/>
          <w:color w:val="000000" w:themeColor="text1"/>
        </w:rPr>
        <w:t>ipilimumabem</w:t>
      </w:r>
      <w:proofErr w:type="spellEnd"/>
      <w:r w:rsidRPr="00A61E66">
        <w:rPr>
          <w:rFonts w:ascii="Trebuchet MS" w:hAnsi="Trebuchet MS"/>
          <w:b/>
          <w:i/>
          <w:iCs/>
          <w:color w:val="000000" w:themeColor="text1"/>
        </w:rPr>
        <w:t xml:space="preserve"> równolegle z dwoma cyklami chemioterapii oraz utrzymujące się korzyści w kolejnej analizie przy minimalnym czasie obserwacji wynoszącym 12 miesięcy</w:t>
      </w:r>
      <w:r w:rsidR="00A61E66">
        <w:rPr>
          <w:rFonts w:ascii="Trebuchet MS" w:hAnsi="Trebuchet MS"/>
          <w:b/>
          <w:i/>
          <w:iCs/>
          <w:color w:val="000000" w:themeColor="text1"/>
        </w:rPr>
        <w:t>.</w:t>
      </w:r>
    </w:p>
    <w:p w14:paraId="4C71F500" w14:textId="55D2B2AF" w:rsidR="00792EEB" w:rsidRPr="00A61E66" w:rsidRDefault="00792EEB" w:rsidP="00A61E66">
      <w:pPr>
        <w:pStyle w:val="Akapitzlist"/>
        <w:numPr>
          <w:ilvl w:val="0"/>
          <w:numId w:val="7"/>
        </w:numPr>
        <w:jc w:val="both"/>
        <w:rPr>
          <w:rFonts w:ascii="Trebuchet MS" w:hAnsi="Trebuchet MS" w:cstheme="minorHAnsi"/>
          <w:b/>
          <w:i/>
        </w:rPr>
      </w:pPr>
      <w:r w:rsidRPr="00A61E66">
        <w:rPr>
          <w:rFonts w:ascii="Trebuchet MS" w:hAnsi="Trebuchet MS"/>
          <w:b/>
          <w:i/>
        </w:rPr>
        <w:t>Korzyści kliniczne stwierdzono we wszystkich zmiennych oceny skuteczności, niezależnie od ekspresji PD-L1 i typu histologicznego nowotworu</w:t>
      </w:r>
      <w:r w:rsidR="00A61E66">
        <w:rPr>
          <w:rFonts w:ascii="Trebuchet MS" w:hAnsi="Trebuchet MS"/>
          <w:b/>
          <w:i/>
        </w:rPr>
        <w:t>.</w:t>
      </w:r>
    </w:p>
    <w:p w14:paraId="1B8F0513" w14:textId="77777777" w:rsidR="00A61E66" w:rsidRPr="00A61E66" w:rsidRDefault="00A61E66" w:rsidP="00792EEB">
      <w:pPr>
        <w:jc w:val="center"/>
        <w:rPr>
          <w:rFonts w:ascii="Trebuchet MS" w:hAnsi="Trebuchet MS" w:cstheme="minorHAnsi"/>
          <w:b/>
          <w:i/>
          <w:sz w:val="22"/>
          <w:szCs w:val="22"/>
        </w:rPr>
      </w:pPr>
    </w:p>
    <w:p w14:paraId="6C7D9C03" w14:textId="77777777" w:rsidR="005D40B3" w:rsidRPr="00A61E66" w:rsidRDefault="005D40B3" w:rsidP="00960005">
      <w:pPr>
        <w:jc w:val="center"/>
        <w:rPr>
          <w:rFonts w:ascii="Trebuchet MS" w:hAnsi="Trebuchet MS" w:cstheme="minorHAnsi"/>
          <w:sz w:val="22"/>
          <w:szCs w:val="22"/>
        </w:rPr>
      </w:pPr>
    </w:p>
    <w:p w14:paraId="4B42F4CD" w14:textId="77777777" w:rsidR="00FA4FFC" w:rsidRPr="006C4291" w:rsidRDefault="00FA4FFC" w:rsidP="00FA4FFC">
      <w:pPr>
        <w:rPr>
          <w:rFonts w:ascii="Trebuchet MS" w:hAnsi="Trebuchet MS" w:cs="Times New Roman"/>
          <w:b/>
        </w:rPr>
      </w:pPr>
    </w:p>
    <w:p w14:paraId="60807471" w14:textId="77271755" w:rsidR="00DA392D" w:rsidRPr="00DA392D" w:rsidRDefault="00DA392D" w:rsidP="00DA392D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DA392D">
        <w:rPr>
          <w:rFonts w:ascii="Trebuchet MS" w:hAnsi="Trebuchet MS"/>
          <w:b/>
          <w:bCs/>
          <w:u w:val="single"/>
        </w:rPr>
        <w:t xml:space="preserve">Wyniki badania </w:t>
      </w:r>
      <w:proofErr w:type="spellStart"/>
      <w:r w:rsidRPr="00DA392D">
        <w:rPr>
          <w:rFonts w:ascii="Trebuchet MS" w:hAnsi="Trebuchet MS"/>
          <w:b/>
          <w:bCs/>
          <w:u w:val="single"/>
        </w:rPr>
        <w:t>CheckMate</w:t>
      </w:r>
      <w:proofErr w:type="spellEnd"/>
      <w:r w:rsidRPr="00DA392D">
        <w:rPr>
          <w:rFonts w:ascii="Trebuchet MS" w:hAnsi="Trebuchet MS"/>
          <w:b/>
          <w:bCs/>
          <w:u w:val="single"/>
        </w:rPr>
        <w:t xml:space="preserve"> -9LA</w:t>
      </w:r>
    </w:p>
    <w:p w14:paraId="1C0CE408" w14:textId="77777777" w:rsidR="00DA392D" w:rsidRDefault="00FA4FFC" w:rsidP="00DA392D">
      <w:pPr>
        <w:spacing w:line="360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A61E66">
        <w:rPr>
          <w:rFonts w:ascii="Trebuchet MS" w:hAnsi="Trebuchet MS"/>
          <w:sz w:val="22"/>
          <w:szCs w:val="22"/>
        </w:rPr>
        <w:t>(PRINCETON, N.J., 13 maja 2020 r.) –</w:t>
      </w:r>
      <w:r w:rsidR="00DA392D" w:rsidRPr="00DA392D">
        <w:rPr>
          <w:rFonts w:ascii="Trebuchet MS" w:hAnsi="Trebuchet MS"/>
          <w:sz w:val="22"/>
          <w:szCs w:val="22"/>
        </w:rPr>
        <w:t xml:space="preserve">Bristol </w:t>
      </w:r>
      <w:proofErr w:type="spellStart"/>
      <w:r w:rsidR="00DA392D" w:rsidRPr="00DA392D">
        <w:rPr>
          <w:rFonts w:ascii="Trebuchet MS" w:hAnsi="Trebuchet MS"/>
          <w:sz w:val="22"/>
          <w:szCs w:val="22"/>
        </w:rPr>
        <w:t>Myers</w:t>
      </w:r>
      <w:proofErr w:type="spellEnd"/>
      <w:r w:rsidR="00DA392D" w:rsidRPr="00DA392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2D" w:rsidRPr="00DA392D">
        <w:rPr>
          <w:rFonts w:ascii="Trebuchet MS" w:hAnsi="Trebuchet MS"/>
          <w:sz w:val="22"/>
          <w:szCs w:val="22"/>
        </w:rPr>
        <w:t>Squibb</w:t>
      </w:r>
      <w:proofErr w:type="spellEnd"/>
      <w:r w:rsidR="00DA392D" w:rsidRPr="00DA392D">
        <w:rPr>
          <w:rFonts w:ascii="Trebuchet MS" w:hAnsi="Trebuchet MS"/>
          <w:sz w:val="22"/>
          <w:szCs w:val="22"/>
        </w:rPr>
        <w:t xml:space="preserve"> (NYSE: BMY) </w:t>
      </w:r>
      <w:r w:rsidR="00DA392D">
        <w:rPr>
          <w:rFonts w:ascii="Trebuchet MS" w:hAnsi="Trebuchet MS"/>
          <w:sz w:val="22"/>
          <w:szCs w:val="22"/>
        </w:rPr>
        <w:t>po</w:t>
      </w:r>
      <w:r w:rsidR="006544D0" w:rsidRPr="00A61E66">
        <w:rPr>
          <w:rFonts w:ascii="Trebuchet MS" w:hAnsi="Trebuchet MS"/>
          <w:sz w:val="22"/>
          <w:szCs w:val="22"/>
        </w:rPr>
        <w:t xml:space="preserve"> </w:t>
      </w:r>
      <w:r w:rsidR="00A61E66">
        <w:rPr>
          <w:rFonts w:ascii="Trebuchet MS" w:hAnsi="Trebuchet MS"/>
          <w:sz w:val="22"/>
          <w:szCs w:val="22"/>
        </w:rPr>
        <w:t>raz pierwszy za</w:t>
      </w:r>
      <w:r w:rsidRPr="00A61E66">
        <w:rPr>
          <w:rFonts w:ascii="Trebuchet MS" w:hAnsi="Trebuchet MS"/>
          <w:sz w:val="22"/>
          <w:szCs w:val="22"/>
        </w:rPr>
        <w:t>prezent</w:t>
      </w:r>
      <w:r w:rsidR="00A61E66">
        <w:rPr>
          <w:rFonts w:ascii="Trebuchet MS" w:hAnsi="Trebuchet MS"/>
          <w:sz w:val="22"/>
          <w:szCs w:val="22"/>
        </w:rPr>
        <w:t xml:space="preserve">ował </w:t>
      </w:r>
      <w:r w:rsidRPr="00A61E66">
        <w:rPr>
          <w:rFonts w:ascii="Trebuchet MS" w:hAnsi="Trebuchet MS"/>
          <w:sz w:val="22"/>
          <w:szCs w:val="22"/>
        </w:rPr>
        <w:t>wynik</w:t>
      </w:r>
      <w:r w:rsidR="00A61E66">
        <w:rPr>
          <w:rFonts w:ascii="Trebuchet MS" w:hAnsi="Trebuchet MS"/>
          <w:sz w:val="22"/>
          <w:szCs w:val="22"/>
        </w:rPr>
        <w:t>i</w:t>
      </w:r>
      <w:r w:rsidRPr="00A61E66">
        <w:rPr>
          <w:rFonts w:ascii="Trebuchet MS" w:hAnsi="Trebuchet MS"/>
          <w:sz w:val="22"/>
          <w:szCs w:val="22"/>
        </w:rPr>
        <w:t xml:space="preserve"> z badania 3 fazy </w:t>
      </w:r>
      <w:proofErr w:type="spellStart"/>
      <w:r w:rsidRPr="00A61E66">
        <w:rPr>
          <w:rFonts w:ascii="Trebuchet MS" w:hAnsi="Trebuchet MS"/>
          <w:sz w:val="22"/>
          <w:szCs w:val="22"/>
        </w:rPr>
        <w:t>CheckMate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-9LA, w którym wykazano istotne statystycznie i klinicznie korzyści w zakresie przeżycia przy zastosowaniu </w:t>
      </w:r>
      <w:proofErr w:type="spellStart"/>
      <w:r w:rsidRPr="00A61E66">
        <w:rPr>
          <w:rFonts w:ascii="Trebuchet MS" w:hAnsi="Trebuchet MS"/>
          <w:sz w:val="22"/>
          <w:szCs w:val="22"/>
        </w:rPr>
        <w:t>niwolumabu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w skojarzeniu z </w:t>
      </w:r>
      <w:proofErr w:type="spellStart"/>
      <w:r w:rsidRPr="00A61E66">
        <w:rPr>
          <w:rFonts w:ascii="Trebuchet MS" w:hAnsi="Trebuchet MS"/>
          <w:sz w:val="22"/>
          <w:szCs w:val="22"/>
        </w:rPr>
        <w:t>ipilimumabem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, podawanych równolegle z dwoma cyklami chemioterapii w leczeniu pierwszej linii przerzutowego </w:t>
      </w:r>
      <w:proofErr w:type="spellStart"/>
      <w:r w:rsidRPr="00A61E66">
        <w:rPr>
          <w:rFonts w:ascii="Trebuchet MS" w:hAnsi="Trebuchet MS"/>
          <w:sz w:val="22"/>
          <w:szCs w:val="22"/>
        </w:rPr>
        <w:t>niedrobnokomórkowego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raka płuca (NDRP).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Badanie spełniło kryteria zarówno pierwszorzędowego, jak i kluczowych drugorzędowych punktów końcowych, wykazując lepsze przeżycie całkowite (OS), przeżycie bez progresji choroby (PFS) i odset</w:t>
      </w:r>
      <w:r w:rsidR="006544D0" w:rsidRPr="00A61E66">
        <w:rPr>
          <w:rFonts w:ascii="Trebuchet MS" w:hAnsi="Trebuchet MS"/>
          <w:color w:val="000000" w:themeColor="text1"/>
          <w:sz w:val="22"/>
          <w:szCs w:val="22"/>
        </w:rPr>
        <w:t>ek odpowiedzi ogółem (ORR) z użyciem immunoterapii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w skojarzeniu z chemioterapią wobec samej chemioterapii</w:t>
      </w:r>
      <w:r w:rsidR="00DA392D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2ABD5789" w14:textId="246E9CBF" w:rsidR="00792EEB" w:rsidRPr="00A61E66" w:rsidRDefault="0020318D" w:rsidP="00A61E66">
      <w:pPr>
        <w:spacing w:line="360" w:lineRule="auto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Podczas </w:t>
      </w:r>
      <w:r w:rsidR="00B37357" w:rsidRPr="00A61E66">
        <w:rPr>
          <w:rFonts w:ascii="Trebuchet MS" w:hAnsi="Trebuchet MS"/>
          <w:color w:val="000000" w:themeColor="text1"/>
          <w:sz w:val="22"/>
          <w:szCs w:val="22"/>
        </w:rPr>
        <w:t xml:space="preserve">analizy pośredniej pierwszorzędowego punktu końcowego w postaci OS, </w:t>
      </w:r>
      <w:proofErr w:type="spellStart"/>
      <w:r w:rsidR="00B37357" w:rsidRPr="00A61E66">
        <w:rPr>
          <w:rFonts w:ascii="Trebuchet MS" w:hAnsi="Trebuchet MS"/>
          <w:color w:val="000000" w:themeColor="text1"/>
          <w:sz w:val="22"/>
          <w:szCs w:val="22"/>
        </w:rPr>
        <w:t>niwolumab</w:t>
      </w:r>
      <w:proofErr w:type="spellEnd"/>
      <w:r w:rsidR="00B37357" w:rsidRPr="00A61E66">
        <w:rPr>
          <w:rFonts w:ascii="Trebuchet MS" w:hAnsi="Trebuchet MS"/>
          <w:color w:val="000000" w:themeColor="text1"/>
          <w:sz w:val="22"/>
          <w:szCs w:val="22"/>
        </w:rPr>
        <w:t xml:space="preserve"> i </w:t>
      </w:r>
      <w:proofErr w:type="spellStart"/>
      <w:r w:rsidR="00B37357" w:rsidRPr="00A61E66">
        <w:rPr>
          <w:rFonts w:ascii="Trebuchet MS" w:hAnsi="Trebuchet MS"/>
          <w:color w:val="000000" w:themeColor="text1"/>
          <w:sz w:val="22"/>
          <w:szCs w:val="22"/>
        </w:rPr>
        <w:t>ipilimumab</w:t>
      </w:r>
      <w:proofErr w:type="spellEnd"/>
      <w:r w:rsidR="00B37357" w:rsidRPr="00A61E66">
        <w:rPr>
          <w:rFonts w:ascii="Trebuchet MS" w:hAnsi="Trebuchet MS"/>
          <w:color w:val="000000" w:themeColor="text1"/>
          <w:sz w:val="22"/>
          <w:szCs w:val="22"/>
        </w:rPr>
        <w:t xml:space="preserve"> w skojarzeniu z dwoma cyklami chemioterapii obniżał ryzyko zgonu o 31% w porównaniu z samą chemioterapią przy minimalnym czasie obserwacji wynoszącym 8,1 miesiąca [współczynnik hazardu (HR): 0,69, 96,71% przedział ufności (CI): 0,55 do 0,87; p=0,0006]. </w:t>
      </w:r>
      <w:r w:rsidR="003A428B" w:rsidRPr="00A61E66">
        <w:rPr>
          <w:rFonts w:ascii="Trebuchet MS" w:hAnsi="Trebuchet MS"/>
          <w:color w:val="000000" w:themeColor="text1"/>
          <w:sz w:val="22"/>
          <w:szCs w:val="22"/>
        </w:rPr>
        <w:t>Ponadto</w:t>
      </w:r>
      <w:r w:rsidR="00B37357" w:rsidRPr="00A61E66">
        <w:rPr>
          <w:rFonts w:ascii="Trebuchet MS" w:hAnsi="Trebuchet MS"/>
          <w:color w:val="000000" w:themeColor="text1"/>
          <w:sz w:val="22"/>
          <w:szCs w:val="22"/>
        </w:rPr>
        <w:t xml:space="preserve"> przy dłuższej obs</w:t>
      </w:r>
      <w:r w:rsidR="00741123" w:rsidRPr="00A61E66">
        <w:rPr>
          <w:rFonts w:ascii="Trebuchet MS" w:hAnsi="Trebuchet MS"/>
          <w:color w:val="000000" w:themeColor="text1"/>
          <w:sz w:val="22"/>
          <w:szCs w:val="22"/>
        </w:rPr>
        <w:t>erwacji (minimum 12,7 miesiąca)</w:t>
      </w:r>
      <w:r w:rsidR="00B37357" w:rsidRPr="00A61E66">
        <w:rPr>
          <w:rFonts w:ascii="Trebuchet MS" w:hAnsi="Trebuchet MS"/>
          <w:color w:val="000000" w:themeColor="text1"/>
          <w:sz w:val="22"/>
          <w:szCs w:val="22"/>
        </w:rPr>
        <w:t xml:space="preserve"> obserwowano utrzymującą się poprawę OS przy leczeniu skojarzonym w porównaniu z samą chemioterapią (mediana OS odpowiednio 16,5 miesiąca wobec 10,9 miesiąca [HR: 0,66, 95% CI: 0,55 do 0,80]).</w:t>
      </w:r>
      <w:r w:rsidR="00B37357" w:rsidRPr="00A61E66">
        <w:rPr>
          <w:rFonts w:ascii="Trebuchet MS" w:hAnsi="Trebuchet MS"/>
          <w:sz w:val="22"/>
          <w:szCs w:val="22"/>
        </w:rPr>
        <w:t xml:space="preserve"> </w:t>
      </w:r>
      <w:r w:rsidR="00B37357" w:rsidRPr="00A61E66">
        <w:rPr>
          <w:rFonts w:ascii="Trebuchet MS" w:hAnsi="Trebuchet MS"/>
          <w:color w:val="000000" w:themeColor="text1"/>
          <w:sz w:val="22"/>
          <w:szCs w:val="22"/>
        </w:rPr>
        <w:t>Korzyści kliniczne stwierdzono w zakresie wszystkich zmiennych oceny skuteczności w najważniejszych podgrupach populacji badanej, w tym wyznaczonych według ekspresji PD-L1 i typu histologicznego (płaskonabłonkowy wobec niepłaskonabłonkowego).</w:t>
      </w:r>
    </w:p>
    <w:p w14:paraId="78E91A3D" w14:textId="539BB961" w:rsidR="00792EEB" w:rsidRPr="00A61E66" w:rsidRDefault="00792EEB" w:rsidP="00A61E66">
      <w:pPr>
        <w:spacing w:line="360" w:lineRule="auto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bookmarkStart w:id="1" w:name="_Hlk38490337"/>
      <w:bookmarkEnd w:id="1"/>
      <w:r w:rsidRPr="00A61E66">
        <w:rPr>
          <w:rFonts w:ascii="Trebuchet MS" w:hAnsi="Trebuchet MS"/>
          <w:color w:val="000000" w:themeColor="text1"/>
          <w:sz w:val="22"/>
          <w:szCs w:val="22"/>
        </w:rPr>
        <w:lastRenderedPageBreak/>
        <w:t xml:space="preserve">Profil bezpieczeństwa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niwolumabu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(360 mg co trzy tygodnie) plus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ipilimumabu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(1 mg/kg </w:t>
      </w:r>
      <w:r w:rsidR="00C26591" w:rsidRPr="00A61E66">
        <w:rPr>
          <w:rFonts w:ascii="Trebuchet MS" w:hAnsi="Trebuchet MS"/>
          <w:color w:val="000000" w:themeColor="text1"/>
          <w:sz w:val="22"/>
          <w:szCs w:val="22"/>
        </w:rPr>
        <w:t xml:space="preserve">mc. 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>co sześć tygodni) oraz dwóch cykli chemioterapii odpowiadał znanym profilom bezpieczeństwa immunoterapii i chemioterapii stosowanej w leczeniu pierwszej linii NDRP. Wyniki (Abstrakt nr 9501) zosta</w:t>
      </w:r>
      <w:r w:rsidR="00A61E66">
        <w:rPr>
          <w:rFonts w:ascii="Trebuchet MS" w:hAnsi="Trebuchet MS"/>
          <w:color w:val="000000" w:themeColor="text1"/>
          <w:sz w:val="22"/>
          <w:szCs w:val="22"/>
        </w:rPr>
        <w:t>ły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przedstawione podczas prezentacji wygłoszonej </w:t>
      </w:r>
      <w:r w:rsidR="00F50032" w:rsidRPr="00A61E66">
        <w:rPr>
          <w:rFonts w:ascii="Trebuchet MS" w:hAnsi="Trebuchet MS"/>
          <w:color w:val="000000" w:themeColor="text1"/>
          <w:sz w:val="22"/>
          <w:szCs w:val="22"/>
        </w:rPr>
        <w:t>w ramach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wirtualnej sesji dorocznego kongresu Amerykańskiego Towarzystwa Onkologii Klinicznej (ASCO), które odb</w:t>
      </w:r>
      <w:r w:rsidR="00A61E66">
        <w:rPr>
          <w:rFonts w:ascii="Trebuchet MS" w:hAnsi="Trebuchet MS"/>
          <w:color w:val="000000" w:themeColor="text1"/>
          <w:sz w:val="22"/>
          <w:szCs w:val="22"/>
        </w:rPr>
        <w:t xml:space="preserve">yły się 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>w dniach 21-31 maja.</w:t>
      </w:r>
    </w:p>
    <w:p w14:paraId="298DE8C3" w14:textId="72E0E0C2" w:rsidR="00792EEB" w:rsidRPr="00A61E66" w:rsidRDefault="00416E29" w:rsidP="00A61E66">
      <w:pPr>
        <w:spacing w:line="360" w:lineRule="auto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A61E66">
        <w:rPr>
          <w:rFonts w:ascii="Trebuchet MS" w:hAnsi="Trebuchet MS"/>
          <w:color w:val="000000" w:themeColor="text1"/>
          <w:sz w:val="22"/>
          <w:szCs w:val="22"/>
        </w:rPr>
        <w:t>„</w:t>
      </w:r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Wykazano już, że leczenie skojarzone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niwolumabem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i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ipilimumabem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wydłuża przeżycie pacjentów w pierwszej linii leczenia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niedrobnokomórkowego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raka płuca, a dodanie krótkiej chemioterapii może zmniejszyć ryzyko wczesnej progresji choroby nowotworowej</w:t>
      </w:r>
      <w:r w:rsidR="00A61E66">
        <w:rPr>
          <w:rFonts w:ascii="Trebuchet MS" w:hAnsi="Trebuchet MS"/>
          <w:color w:val="000000" w:themeColor="text1"/>
          <w:sz w:val="22"/>
          <w:szCs w:val="22"/>
        </w:rPr>
        <w:t>”,</w:t>
      </w:r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 xml:space="preserve"> powiedział dr Martin </w:t>
      </w:r>
      <w:proofErr w:type="spellStart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>Reck</w:t>
      </w:r>
      <w:proofErr w:type="spellEnd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 xml:space="preserve"> z Kliniki Płuc </w:t>
      </w:r>
      <w:proofErr w:type="spellStart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>Grosshansdorf</w:t>
      </w:r>
      <w:proofErr w:type="spellEnd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 xml:space="preserve"> Niemieckiego Centrum Badań Pulmonologicznych i bad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acz w badaniu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CheckMate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-9LA. „</w:t>
      </w:r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Dane z badania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CheckMate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-9LA potwierdzają, że stosowanie tych skojarzonych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immunoterapeutyków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równolegle z dwoma cyklami chemioterapii zapewnia korzyści w zakresie przeżycia w tej populacji, które występują już na wczesnym etapie leczenia i utrzymują się przy trwającej 12 miesięcy obserwacji we wszystkich najważniejszych podgrupach pacjentów. Kolejne spływające dane wskazują na możliwość rosnących z czasem korzyści w zakresie przeżycia.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>”</w:t>
      </w:r>
    </w:p>
    <w:p w14:paraId="4A99ABEE" w14:textId="4E92F9F1" w:rsidR="00792EEB" w:rsidRPr="00A61E66" w:rsidRDefault="00175DF2" w:rsidP="00A61E66">
      <w:pPr>
        <w:spacing w:line="360" w:lineRule="auto"/>
        <w:ind w:firstLine="720"/>
        <w:contextualSpacing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Przy minimalnym czasie obserwacji wynoszącym 12,7 miesiąca, </w:t>
      </w:r>
      <w:r w:rsidR="004A4350" w:rsidRPr="00A61E66">
        <w:rPr>
          <w:rFonts w:ascii="Trebuchet MS" w:hAnsi="Trebuchet MS"/>
          <w:color w:val="000000" w:themeColor="text1"/>
          <w:sz w:val="22"/>
          <w:szCs w:val="22"/>
        </w:rPr>
        <w:t xml:space="preserve">zastosowanie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niwolumab</w:t>
      </w:r>
      <w:r w:rsidR="004A4350" w:rsidRPr="00A61E66">
        <w:rPr>
          <w:rFonts w:ascii="Trebuchet MS" w:hAnsi="Trebuchet MS"/>
          <w:color w:val="000000" w:themeColor="text1"/>
          <w:sz w:val="22"/>
          <w:szCs w:val="22"/>
        </w:rPr>
        <w:t>u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w skojarzeniu z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ipilimumabem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oraz krótką chemioterapią spowodowało wydłużenie OS niezależnie od poziomu ekspresji PD-L1, zmniejszając ryzyko zgonu o 38% u pacjentów z PD-L1 &lt;1% (HR: 0,62, 95% CI: 0,45 do 0,85) i o 36% u pacjentów z PD-L1 ≥ 1% (HR: 0,64, 95% CI: 0,50 do 0,82). Ponadto skojarzenie dwóch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immunoterapeutyków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i chemioterapii </w:t>
      </w:r>
      <w:r w:rsidR="006F229D" w:rsidRPr="00A61E66">
        <w:rPr>
          <w:rFonts w:ascii="Trebuchet MS" w:hAnsi="Trebuchet MS"/>
          <w:color w:val="000000" w:themeColor="text1"/>
          <w:sz w:val="22"/>
          <w:szCs w:val="22"/>
        </w:rPr>
        <w:t>dało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wskaźnik </w:t>
      </w:r>
      <w:r w:rsidR="00557C06" w:rsidRPr="00A61E66">
        <w:rPr>
          <w:rFonts w:ascii="Trebuchet MS" w:hAnsi="Trebuchet MS"/>
          <w:color w:val="000000" w:themeColor="text1"/>
          <w:sz w:val="22"/>
          <w:szCs w:val="22"/>
        </w:rPr>
        <w:t>1-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>rocznego PFS wynoszący 33% wobec 19% dla chemioterapii (HR: 0,68, 95% CI: 0,57 do 0,82) i ORR wynoszący 38% wobec 25% przy samej chemioterapii.</w:t>
      </w:r>
    </w:p>
    <w:p w14:paraId="31455897" w14:textId="53927F6B" w:rsidR="000E73FF" w:rsidRPr="00A61E66" w:rsidRDefault="00564EF6" w:rsidP="00A61E66">
      <w:pPr>
        <w:spacing w:line="360" w:lineRule="auto"/>
        <w:ind w:firstLine="720"/>
        <w:contextualSpacing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A61E66">
        <w:rPr>
          <w:rFonts w:ascii="Trebuchet MS" w:hAnsi="Trebuchet MS"/>
          <w:color w:val="000000" w:themeColor="text1"/>
          <w:sz w:val="22"/>
          <w:szCs w:val="22"/>
        </w:rPr>
        <w:t>„</w:t>
      </w:r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Mając świadomość, że każdy pacjent z rozpoznaniem rozsianego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niedrobnokomórkowego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raka płuca jest inny, w naszym programie badawczo-rozwojowym postawiliśmy sobie za cel opracowanie szeregu potencjalnie trwałych rozwiązań dla jak najszerszego grona nieleczonych wcześniej pacjentów, którzy nadal potrzebują nowych opcji leczenia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>”,</w:t>
      </w:r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 xml:space="preserve"> powiedział dr Nick </w:t>
      </w:r>
      <w:proofErr w:type="spellStart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>Botwood</w:t>
      </w:r>
      <w:proofErr w:type="spellEnd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 xml:space="preserve">, wiceprezes ds. </w:t>
      </w:r>
      <w:proofErr w:type="spellStart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>Oncology</w:t>
      </w:r>
      <w:proofErr w:type="spellEnd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>Clinical</w:t>
      </w:r>
      <w:proofErr w:type="spellEnd"/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 xml:space="preserve"> Develo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pment w Bristol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>. „</w:t>
      </w:r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Najnowsze badania dotyczące przeżyć rocznych z badania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CheckMate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-9LA, w połączeniu z danymi z trzech lat badania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CheckMate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-227 kolejny raz potwierdzają wartość kliniczną schematów leczenia skojarzonego obejmujących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niwolumab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i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ipilimumab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, czyli pierwszą immunoterapię skojarzoną, stosowaną w leczeniu pierwszej linii </w:t>
      </w:r>
      <w:proofErr w:type="spellStart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>niedrobnokomórkowego</w:t>
      </w:r>
      <w:proofErr w:type="spellEnd"/>
      <w:r w:rsidR="00792EEB" w:rsidRPr="00A61E66">
        <w:rPr>
          <w:rFonts w:ascii="Trebuchet MS" w:hAnsi="Trebuchet MS"/>
          <w:i/>
          <w:iCs/>
          <w:color w:val="000000" w:themeColor="text1"/>
          <w:sz w:val="22"/>
          <w:szCs w:val="22"/>
        </w:rPr>
        <w:t xml:space="preserve"> raka płuca</w:t>
      </w:r>
      <w:r w:rsidR="00792EEB" w:rsidRPr="00A61E66">
        <w:rPr>
          <w:rFonts w:ascii="Trebuchet MS" w:hAnsi="Trebuchet MS"/>
          <w:color w:val="000000" w:themeColor="text1"/>
          <w:sz w:val="22"/>
          <w:szCs w:val="22"/>
        </w:rPr>
        <w:t>.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>”</w:t>
      </w:r>
    </w:p>
    <w:p w14:paraId="416635D2" w14:textId="7E7F169A" w:rsidR="00792EEB" w:rsidRPr="00A61E66" w:rsidRDefault="000E73FF" w:rsidP="00A61E66">
      <w:pPr>
        <w:spacing w:line="360" w:lineRule="auto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lastRenderedPageBreak/>
        <w:t>Niwolumab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w połączeniu z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ipilimumabem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EB469A" w:rsidRPr="00A61E66">
        <w:rPr>
          <w:rFonts w:ascii="Trebuchet MS" w:hAnsi="Trebuchet MS"/>
          <w:color w:val="000000" w:themeColor="text1"/>
          <w:sz w:val="22"/>
          <w:szCs w:val="22"/>
        </w:rPr>
        <w:t>są</w:t>
      </w:r>
      <w:r w:rsidR="00564EF6" w:rsidRPr="00A61E66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>skojarzenie</w:t>
      </w:r>
      <w:r w:rsidR="00EB469A" w:rsidRPr="00A61E66">
        <w:rPr>
          <w:rFonts w:ascii="Trebuchet MS" w:hAnsi="Trebuchet MS"/>
          <w:color w:val="000000" w:themeColor="text1"/>
          <w:sz w:val="22"/>
          <w:szCs w:val="22"/>
        </w:rPr>
        <w:t>m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dwóch inhibitorów punktu kontrolnego, zapewniając</w:t>
      </w:r>
      <w:r w:rsidR="00EB469A" w:rsidRPr="00A61E66">
        <w:rPr>
          <w:rFonts w:ascii="Trebuchet MS" w:hAnsi="Trebuchet MS"/>
          <w:color w:val="000000" w:themeColor="text1"/>
          <w:sz w:val="22"/>
          <w:szCs w:val="22"/>
        </w:rPr>
        <w:t>ym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potencjalną synergię w mechanizmie działania, ponieważ, biorąc za cel dwa różne punkty kontrolne (PD-1 oraz CTLA-4), pomagają niszczyć komórki raka: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ipilimumab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przyczynia się do aktywacji i proliferacji limfocytów T, natomiast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niwolumab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pomaga istniejącym limfocytom T wykryć nowotwór. Niektóre z limfocytów T aktywowanych przez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ipilimumab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mogą stać się limfocytami T pamięci, potencjalnie </w:t>
      </w:r>
      <w:r w:rsidR="00C67CF9" w:rsidRPr="00A61E66">
        <w:rPr>
          <w:rFonts w:ascii="Trebuchet MS" w:hAnsi="Trebuchet MS"/>
          <w:color w:val="000000" w:themeColor="text1"/>
          <w:sz w:val="22"/>
          <w:szCs w:val="22"/>
        </w:rPr>
        <w:t>zapewniając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długotrwałą odpowiedź immunologiczną. </w:t>
      </w:r>
      <w:bookmarkStart w:id="2" w:name="_Hlk40083703"/>
      <w:r w:rsidR="00EB469A" w:rsidRPr="00A61E66">
        <w:rPr>
          <w:rFonts w:ascii="Trebuchet MS" w:hAnsi="Trebuchet MS"/>
          <w:color w:val="000000" w:themeColor="text1"/>
          <w:sz w:val="22"/>
          <w:szCs w:val="22"/>
        </w:rPr>
        <w:t>Jak wskazuje ww. badanie u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zupełnienie leczenia skojarzonego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niwolumabem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i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ipilimumabem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o krótką chemioterapię może pomóc we wczesnym opanowaniu rozwoju choroby nowotworowej.</w:t>
      </w:r>
      <w:bookmarkEnd w:id="2"/>
    </w:p>
    <w:p w14:paraId="5B984E74" w14:textId="7D06999E" w:rsidR="002C1C51" w:rsidRPr="00A61E66" w:rsidRDefault="002C1C51" w:rsidP="00A61E66">
      <w:pPr>
        <w:spacing w:line="360" w:lineRule="auto"/>
        <w:contextualSpacing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2D7FC51F" w14:textId="77777777" w:rsidR="002C1C51" w:rsidRPr="006C4291" w:rsidRDefault="002C1C51" w:rsidP="002C1C51">
      <w:pPr>
        <w:spacing w:line="360" w:lineRule="auto"/>
        <w:contextualSpacing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  <w:u w:val="single"/>
        </w:rPr>
        <w:t xml:space="preserve">Informacje o badaniu </w:t>
      </w:r>
      <w:proofErr w:type="spellStart"/>
      <w:r>
        <w:rPr>
          <w:rFonts w:ascii="Trebuchet MS" w:hAnsi="Trebuchet MS"/>
          <w:b/>
          <w:color w:val="000000" w:themeColor="text1"/>
          <w:u w:val="single"/>
        </w:rPr>
        <w:t>CheckMate</w:t>
      </w:r>
      <w:proofErr w:type="spellEnd"/>
      <w:r>
        <w:rPr>
          <w:rFonts w:ascii="Trebuchet MS" w:hAnsi="Trebuchet MS"/>
          <w:b/>
          <w:color w:val="000000" w:themeColor="text1"/>
          <w:u w:val="single"/>
        </w:rPr>
        <w:t xml:space="preserve"> -9LA</w:t>
      </w:r>
    </w:p>
    <w:p w14:paraId="19BA02C4" w14:textId="5AE51401" w:rsidR="002C1C51" w:rsidRPr="00A61E66" w:rsidRDefault="002C1C51" w:rsidP="00A61E66">
      <w:pPr>
        <w:spacing w:line="360" w:lineRule="auto"/>
        <w:ind w:firstLine="720"/>
        <w:contextualSpacing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CheckMate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-9LA jest otwartym, wieloośrodkowym, randomizowanym badaniem 3. fazy, prowadzonym w celu oceny stosowania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niwolumabu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(360 mg co 3 tygodnie) oraz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ipilimumabu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(1 mg/kg mc. co 6 tygodni) w skojarzeniu z chemioterapią (dwa cykle), w porównaniu z samą chemioterapią (do czterech cykli, po których u kwalifikujących się pacjentów stosowane jest opcjonalne leczenie podtrzymujące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pemetreksedem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) w leczeniu pierwszej linii pacjentów z rozsianym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niedrobnokomórkowym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rakiem płuca, niezależnie od ekspresji PD-L1 i typu histologicznego guza. Pacjenci w grupie eksperymentalnej byli poddawani immunoterapii przez okres do dwóch lat lub do stwierdzenia progresji choroby nowotworowej lub silnych efektów toksycznych. Pacjenci w grupie kontrolnej otrzymywali do czterech cykli chemioterapii i opcjonalne leczenie podtrzymujące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pemetreksedem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(jeśli spełniali odpowiednie kryteria) do stwierdzenia progresji choroby nowotworowej lub nadmiernych efektów toksycznych. Pierwszorzędowym punktem końcowym badania było przeżycie całkowite (OS) w populacji wyodrębnionej zgodnie z zaplanowanym leczeniem (ITT). Drugorzędowe, oceniane </w:t>
      </w:r>
      <w:r w:rsidR="003B60CF" w:rsidRPr="00A61E66">
        <w:rPr>
          <w:rFonts w:ascii="Trebuchet MS" w:hAnsi="Trebuchet MS"/>
          <w:color w:val="000000" w:themeColor="text1"/>
          <w:sz w:val="22"/>
          <w:szCs w:val="22"/>
        </w:rPr>
        <w:t>w schemacie hierarchicznym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punkty końcowe oceny</w:t>
      </w:r>
      <w:r w:rsidR="002D7182" w:rsidRPr="00A61E66">
        <w:rPr>
          <w:rFonts w:ascii="Trebuchet MS" w:hAnsi="Trebuchet MS"/>
          <w:color w:val="000000" w:themeColor="text1"/>
          <w:sz w:val="22"/>
          <w:szCs w:val="22"/>
        </w:rPr>
        <w:t>,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obejmowały czas przeżycia bez progresji choroby (PFS) i odsetek odpowiedzi ogółem (ORR); w badaniu analizowano też zmienne oceny skuteczności na podstawie badań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biomarkerów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0414F061" w14:textId="77777777" w:rsidR="00A61E66" w:rsidRDefault="00A61E66" w:rsidP="008F761B">
      <w:pPr>
        <w:spacing w:line="360" w:lineRule="auto"/>
        <w:contextualSpacing/>
        <w:rPr>
          <w:rFonts w:ascii="Trebuchet MS" w:hAnsi="Trebuchet MS"/>
          <w:b/>
          <w:color w:val="000000" w:themeColor="text1"/>
          <w:u w:val="single"/>
        </w:rPr>
      </w:pPr>
    </w:p>
    <w:p w14:paraId="18D6D2A7" w14:textId="0F1DC4D6" w:rsidR="008F761B" w:rsidRPr="006C4291" w:rsidRDefault="008F761B" w:rsidP="008F761B">
      <w:pPr>
        <w:spacing w:line="360" w:lineRule="auto"/>
        <w:contextualSpacing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  <w:u w:val="single"/>
        </w:rPr>
        <w:t>Rak płuca</w:t>
      </w:r>
    </w:p>
    <w:p w14:paraId="045C04D2" w14:textId="77777777" w:rsidR="008F761B" w:rsidRPr="00A61E66" w:rsidRDefault="008F761B" w:rsidP="00A61E66">
      <w:pPr>
        <w:spacing w:line="360" w:lineRule="auto"/>
        <w:ind w:firstLine="720"/>
        <w:contextualSpacing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Rak płuca jest jedną z głównych przyczyn zgonów na całym świecie. Dwa główne typy nowotworów płuca to rak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niedrobnokomórkowy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i rak drobnokomórkowy.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Niedrobnokomórkowy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rak płuca (NDRP) stanowi jeden z najczęściej występujących typów raka płuca i jest rozpoznawany w około 84% przypadków. Wskaźniki przeżyć zależą od typu i stadium </w:t>
      </w:r>
      <w:r w:rsidRPr="00A61E66">
        <w:rPr>
          <w:rFonts w:ascii="Trebuchet MS" w:hAnsi="Trebuchet MS"/>
          <w:color w:val="000000" w:themeColor="text1"/>
          <w:sz w:val="22"/>
          <w:szCs w:val="22"/>
        </w:rPr>
        <w:lastRenderedPageBreak/>
        <w:t>zaawansowania nowotworu w momencie diagnozy. W przypadku pacjentów, u których rozpoznano rozsiany rak płuca, wskaźnik przeżyć pięcioletnich wynosi około 5%.</w:t>
      </w:r>
    </w:p>
    <w:p w14:paraId="6B832FD9" w14:textId="77777777" w:rsidR="00A61E66" w:rsidRDefault="00A61E66" w:rsidP="008F761B">
      <w:pPr>
        <w:spacing w:line="360" w:lineRule="auto"/>
        <w:rPr>
          <w:rFonts w:ascii="Trebuchet MS" w:hAnsi="Trebuchet MS"/>
          <w:b/>
          <w:color w:val="000000" w:themeColor="text1"/>
          <w:u w:val="single"/>
        </w:rPr>
      </w:pPr>
    </w:p>
    <w:p w14:paraId="107E693A" w14:textId="77777777" w:rsidR="00A61E66" w:rsidRDefault="00A61E66" w:rsidP="008F761B">
      <w:pPr>
        <w:spacing w:line="360" w:lineRule="auto"/>
        <w:rPr>
          <w:rFonts w:ascii="Trebuchet MS" w:hAnsi="Trebuchet MS"/>
          <w:b/>
          <w:color w:val="000000" w:themeColor="text1"/>
          <w:u w:val="single"/>
        </w:rPr>
      </w:pPr>
    </w:p>
    <w:p w14:paraId="6237D7F0" w14:textId="5C97960F" w:rsidR="008F761B" w:rsidRPr="006C4291" w:rsidRDefault="008F761B" w:rsidP="008F761B">
      <w:pPr>
        <w:spacing w:line="360" w:lineRule="auto"/>
        <w:rPr>
          <w:rFonts w:ascii="Trebuchet MS" w:eastAsia="Times New Roman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  <w:u w:val="single"/>
        </w:rPr>
        <w:t>Bristol</w:t>
      </w:r>
      <w:r w:rsidR="00947749">
        <w:rPr>
          <w:rFonts w:ascii="Trebuchet MS" w:hAnsi="Trebuchet MS"/>
          <w:b/>
          <w:color w:val="000000" w:themeColor="text1"/>
          <w:u w:val="single"/>
        </w:rPr>
        <w:t xml:space="preserve"> </w:t>
      </w:r>
      <w:proofErr w:type="spellStart"/>
      <w:r>
        <w:rPr>
          <w:rFonts w:ascii="Trebuchet MS" w:hAnsi="Trebuchet MS"/>
          <w:b/>
          <w:color w:val="000000" w:themeColor="text1"/>
          <w:u w:val="single"/>
        </w:rPr>
        <w:t>Myers</w:t>
      </w:r>
      <w:proofErr w:type="spellEnd"/>
      <w:r>
        <w:rPr>
          <w:rFonts w:ascii="Trebuchet MS" w:hAnsi="Trebuchet MS"/>
          <w:b/>
          <w:color w:val="000000" w:themeColor="text1"/>
          <w:u w:val="single"/>
        </w:rPr>
        <w:t xml:space="preserve"> </w:t>
      </w:r>
      <w:proofErr w:type="spellStart"/>
      <w:r>
        <w:rPr>
          <w:rFonts w:ascii="Trebuchet MS" w:hAnsi="Trebuchet MS"/>
          <w:b/>
          <w:color w:val="000000" w:themeColor="text1"/>
          <w:u w:val="single"/>
        </w:rPr>
        <w:t>Squibb</w:t>
      </w:r>
      <w:proofErr w:type="spellEnd"/>
      <w:r>
        <w:rPr>
          <w:rFonts w:ascii="Trebuchet MS" w:hAnsi="Trebuchet MS"/>
          <w:b/>
          <w:color w:val="000000" w:themeColor="text1"/>
          <w:u w:val="single"/>
        </w:rPr>
        <w:t>: Jesteśmy czołówce rozwoju nauki i innowacji w onkologii</w:t>
      </w:r>
    </w:p>
    <w:p w14:paraId="13640A27" w14:textId="4B12FF7C" w:rsidR="008F761B" w:rsidRPr="00A61E66" w:rsidRDefault="008F761B" w:rsidP="00A61E66">
      <w:pPr>
        <w:spacing w:line="360" w:lineRule="auto"/>
        <w:ind w:firstLine="720"/>
        <w:jc w:val="both"/>
        <w:rPr>
          <w:rFonts w:ascii="Trebuchet MS" w:eastAsia="Times New Roman" w:hAnsi="Trebuchet MS"/>
          <w:color w:val="000000" w:themeColor="text1"/>
          <w:sz w:val="22"/>
          <w:szCs w:val="22"/>
        </w:rPr>
      </w:pPr>
      <w:r w:rsidRPr="00A61E66">
        <w:rPr>
          <w:rFonts w:ascii="Trebuchet MS" w:hAnsi="Trebuchet MS"/>
          <w:color w:val="000000" w:themeColor="text1"/>
          <w:sz w:val="22"/>
          <w:szCs w:val="22"/>
        </w:rPr>
        <w:t>W Bristol-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to pacjenci są w centrum wszystkich naszych działań. Celem naszych badań w dziedzinie onkologii jest podniesienie jakości życia pacjentów, zapewnienie im długiego okresu przeżycia i stworzenie możliwości wyleczenia. Łącząc bogate doświadczenie w badaniach naukowych, najnowsze technologie i programy badawcze odkrywamy, opracowujemy i dostarczamy pacjentom przełomowe terapie.</w:t>
      </w:r>
    </w:p>
    <w:p w14:paraId="7FE62639" w14:textId="35453D18" w:rsidR="008F761B" w:rsidRPr="00A61E66" w:rsidRDefault="008F761B" w:rsidP="00A61E66">
      <w:pPr>
        <w:spacing w:line="360" w:lineRule="auto"/>
        <w:ind w:firstLine="720"/>
        <w:jc w:val="both"/>
        <w:rPr>
          <w:rFonts w:ascii="Trebuchet MS" w:eastAsia="Times New Roman" w:hAnsi="Trebuchet MS"/>
          <w:color w:val="000000" w:themeColor="text1"/>
          <w:sz w:val="22"/>
          <w:szCs w:val="22"/>
        </w:rPr>
      </w:pPr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Nasi badacze wdrażają wszechstronny program rozwoju leków wykorzystujących różne mechanizmy działania, oparty na wcześniejszych dokonaniach naszej firmy w dziedzinie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hematoonkologii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 xml:space="preserve"> i </w:t>
      </w:r>
      <w:proofErr w:type="spellStart"/>
      <w:r w:rsidRPr="00A61E66">
        <w:rPr>
          <w:rFonts w:ascii="Trebuchet MS" w:hAnsi="Trebuchet MS"/>
          <w:color w:val="000000" w:themeColor="text1"/>
          <w:sz w:val="22"/>
          <w:szCs w:val="22"/>
        </w:rPr>
        <w:t>immunoonkologii</w:t>
      </w:r>
      <w:proofErr w:type="spellEnd"/>
      <w:r w:rsidRPr="00A61E66">
        <w:rPr>
          <w:rFonts w:ascii="Trebuchet MS" w:hAnsi="Trebuchet MS"/>
          <w:color w:val="000000" w:themeColor="text1"/>
          <w:sz w:val="22"/>
          <w:szCs w:val="22"/>
        </w:rPr>
        <w:t>, które wydłużyły przeżycie pacjentów z różnymi typami nowotworów. W dziedzinie terapii komórkami układu odpornościowego są to leki rejestrowe wykorzystujące terapię komórkami CAR-T, stosowane w wielu różnych chorobach, oraz stale rozbudowywany program wczesnego rozwoju terapii i technologii komórkowych i genetycznych. Opracowujemy leki onkologiczne ukierunkowane na podstawowe szlaki biologiczne z wykorzystaniem programu homeostazy białek, który stanowił podstawę prac nad zarejestrowanymi lekami stosowanymi w szpiczaku mnogim oraz szeregiem obiecujących związków na wczesnej i średniej fazie rozwoju. Nasi badacze analizują leki oddziałujące na różne szlaki systemu immunologicznego i wykorzystujące interakcje pomiędzy nowotworem, jego bezpośrednim otoczeniem, a systemem immunologicznym z myślą o dalszych postępach i uzyskiwaniu odpowiedzi na leczenie u szerszej grupy pacjentów. Połączenie tych podejść stanowi podstawę do opracowywania nowych możliwości leczenia raka i przezwyciężania narastającego problemu oporności na immunoterapię. Dzięki naszym wysiłkom, a także współpracy ze środowiskiem akademickim, instytucjami rządowymi, organizacjami pacjentów i partnerami z branży biotechnologicznej, jesteśmy w stanie osiągnąć cel w postaci zapewnienia pacjentom przełomowych metod leczenia.</w:t>
      </w:r>
    </w:p>
    <w:p w14:paraId="3B55516B" w14:textId="77777777" w:rsidR="008F761B" w:rsidRPr="006C4291" w:rsidRDefault="008F761B" w:rsidP="008F761B">
      <w:pPr>
        <w:tabs>
          <w:tab w:val="left" w:pos="720"/>
          <w:tab w:val="left" w:pos="1170"/>
        </w:tabs>
        <w:spacing w:line="360" w:lineRule="auto"/>
        <w:contextualSpacing/>
        <w:rPr>
          <w:rFonts w:ascii="Trebuchet MS" w:eastAsia="Calibri" w:hAnsi="Trebuchet MS"/>
          <w:color w:val="000000" w:themeColor="text1"/>
        </w:rPr>
      </w:pPr>
    </w:p>
    <w:p w14:paraId="53214153" w14:textId="77777777" w:rsidR="008F761B" w:rsidRPr="006C4291" w:rsidRDefault="008F761B" w:rsidP="008F761B">
      <w:pPr>
        <w:spacing w:line="360" w:lineRule="auto"/>
        <w:rPr>
          <w:rFonts w:ascii="Trebuchet MS" w:eastAsia="Times New Roman" w:hAnsi="Trebuchet MS"/>
          <w:b/>
          <w:bCs/>
          <w:i/>
          <w:color w:val="000000" w:themeColor="text1"/>
          <w:u w:val="single"/>
        </w:rPr>
      </w:pPr>
      <w:r>
        <w:rPr>
          <w:rFonts w:ascii="Trebuchet MS" w:hAnsi="Trebuchet MS"/>
          <w:b/>
          <w:color w:val="000000" w:themeColor="text1"/>
          <w:u w:val="single"/>
        </w:rPr>
        <w:t>Informacje na temat </w:t>
      </w:r>
      <w:proofErr w:type="spellStart"/>
      <w:r>
        <w:rPr>
          <w:rFonts w:ascii="Trebuchet MS" w:hAnsi="Trebuchet MS"/>
          <w:b/>
          <w:color w:val="000000" w:themeColor="text1"/>
          <w:u w:val="single"/>
        </w:rPr>
        <w:t>niwolumabu</w:t>
      </w:r>
      <w:proofErr w:type="spellEnd"/>
    </w:p>
    <w:p w14:paraId="3DD3E39F" w14:textId="77777777" w:rsidR="008F761B" w:rsidRPr="00A61E66" w:rsidRDefault="008F761B" w:rsidP="00A61E66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rebuchet MS" w:eastAsia="Times New Roman" w:hAnsi="Trebuchet MS"/>
          <w:iCs/>
          <w:sz w:val="22"/>
          <w:szCs w:val="22"/>
        </w:rPr>
      </w:pPr>
      <w:proofErr w:type="spellStart"/>
      <w:r w:rsidRPr="00A61E66">
        <w:rPr>
          <w:rFonts w:ascii="Trebuchet MS" w:hAnsi="Trebuchet MS"/>
          <w:sz w:val="22"/>
          <w:szCs w:val="22"/>
        </w:rPr>
        <w:t>Niwolumab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jest inhibitorem immunologicznego punktu kontrolnego PD-1 zaprojektowanym tak, aby w unikalny sposób wspomagać układ immunologiczny organizmu w przywracaniu właściwej odpowiedzi immunologicznej. Dzięki wykorzystaniu możliwości układu </w:t>
      </w:r>
      <w:r w:rsidRPr="00A61E66">
        <w:rPr>
          <w:rFonts w:ascii="Trebuchet MS" w:hAnsi="Trebuchet MS"/>
          <w:sz w:val="22"/>
          <w:szCs w:val="22"/>
        </w:rPr>
        <w:lastRenderedPageBreak/>
        <w:t xml:space="preserve">immunologicznego organizmu w walce z rakiem </w:t>
      </w:r>
      <w:proofErr w:type="spellStart"/>
      <w:r w:rsidRPr="00A61E66">
        <w:rPr>
          <w:rFonts w:ascii="Trebuchet MS" w:hAnsi="Trebuchet MS"/>
          <w:sz w:val="22"/>
          <w:szCs w:val="22"/>
        </w:rPr>
        <w:t>niwolumab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stał się ważną opcją terapeutyczną w leczeniu wielu typów nowotworów.</w:t>
      </w:r>
    </w:p>
    <w:p w14:paraId="04D015C5" w14:textId="77777777" w:rsidR="008F761B" w:rsidRPr="00A61E66" w:rsidRDefault="008F761B" w:rsidP="00A61E66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rebuchet MS" w:eastAsia="Times New Roman" w:hAnsi="Trebuchet MS"/>
          <w:iCs/>
          <w:sz w:val="22"/>
          <w:szCs w:val="22"/>
        </w:rPr>
      </w:pPr>
      <w:r w:rsidRPr="00A61E66">
        <w:rPr>
          <w:rFonts w:ascii="Trebuchet MS" w:hAnsi="Trebuchet MS"/>
          <w:sz w:val="22"/>
          <w:szCs w:val="22"/>
        </w:rPr>
        <w:t xml:space="preserve">Program badawczo-rozwojowy </w:t>
      </w:r>
      <w:proofErr w:type="spellStart"/>
      <w:r w:rsidRPr="00A61E66">
        <w:rPr>
          <w:rFonts w:ascii="Trebuchet MS" w:hAnsi="Trebuchet MS"/>
          <w:sz w:val="22"/>
          <w:szCs w:val="22"/>
        </w:rPr>
        <w:t>niwolumabu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korzysta z wiedzy naukowej i doświadczeń Bristol-</w:t>
      </w:r>
      <w:proofErr w:type="spellStart"/>
      <w:r w:rsidRPr="00A61E66">
        <w:rPr>
          <w:rFonts w:ascii="Trebuchet MS" w:hAnsi="Trebuchet MS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w dziedzinie </w:t>
      </w:r>
      <w:proofErr w:type="spellStart"/>
      <w:r w:rsidRPr="00A61E66">
        <w:rPr>
          <w:rFonts w:ascii="Trebuchet MS" w:hAnsi="Trebuchet MS"/>
          <w:sz w:val="22"/>
          <w:szCs w:val="22"/>
        </w:rPr>
        <w:t>immunoonkologii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i obejmuje szeroką gamę badań klinicznych różnych faz, w tym fazy 3, dotyczących wielu różnych typów nowotworów. Do chwili obecnej programem badań klinicznych </w:t>
      </w:r>
      <w:proofErr w:type="spellStart"/>
      <w:r w:rsidRPr="00A61E66">
        <w:rPr>
          <w:rFonts w:ascii="Trebuchet MS" w:hAnsi="Trebuchet MS"/>
          <w:sz w:val="22"/>
          <w:szCs w:val="22"/>
        </w:rPr>
        <w:t>niwolumabu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objętych zostało ponad 35 000 pacjentów. Dzięki badaniom z zastosowaniem </w:t>
      </w:r>
      <w:proofErr w:type="spellStart"/>
      <w:r w:rsidRPr="00A61E66">
        <w:rPr>
          <w:rFonts w:ascii="Trebuchet MS" w:hAnsi="Trebuchet MS"/>
          <w:sz w:val="22"/>
          <w:szCs w:val="22"/>
        </w:rPr>
        <w:t>niwolumabu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lepiej zrozumieliśmy rolę </w:t>
      </w:r>
      <w:proofErr w:type="spellStart"/>
      <w:r w:rsidRPr="00A61E66">
        <w:rPr>
          <w:rFonts w:ascii="Trebuchet MS" w:hAnsi="Trebuchet MS"/>
          <w:sz w:val="22"/>
          <w:szCs w:val="22"/>
        </w:rPr>
        <w:t>biomarkerów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w leczeniu pacjentów, ze szczególnym uwzględnieniem tego, jakie korzyści z zastosowania leku odnoszą pacjenci w zależności od poziomu ekspresji PD-L1.</w:t>
      </w:r>
    </w:p>
    <w:p w14:paraId="3DDFD339" w14:textId="77777777" w:rsidR="008F761B" w:rsidRPr="00A61E66" w:rsidRDefault="008F761B" w:rsidP="00A61E66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rebuchet MS" w:eastAsia="Times New Roman" w:hAnsi="Trebuchet MS"/>
          <w:iCs/>
          <w:sz w:val="22"/>
          <w:szCs w:val="22"/>
        </w:rPr>
      </w:pPr>
      <w:r w:rsidRPr="00A61E66">
        <w:rPr>
          <w:rFonts w:ascii="Trebuchet MS" w:hAnsi="Trebuchet MS"/>
          <w:sz w:val="22"/>
          <w:szCs w:val="22"/>
        </w:rPr>
        <w:t xml:space="preserve">W lipcu 2014 r. </w:t>
      </w:r>
      <w:proofErr w:type="spellStart"/>
      <w:r w:rsidRPr="00A61E66">
        <w:rPr>
          <w:rFonts w:ascii="Trebuchet MS" w:hAnsi="Trebuchet MS"/>
          <w:sz w:val="22"/>
          <w:szCs w:val="22"/>
        </w:rPr>
        <w:t>niwolumab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stał się pierwszym na świecie zarejestrowanym inhibitorem immunologicznego punktu kontrolnego PD-1. Obecnie jest zarejestrowany w ponad 65 krajach, w tym w Stanach Zjednoczonych, Unii Europejskiej, Japonii i Chinach. W październiku 2015 r. opracowana przez naszą firmę pierwsza terapia skojarzona </w:t>
      </w:r>
      <w:proofErr w:type="spellStart"/>
      <w:r w:rsidRPr="00A61E66">
        <w:rPr>
          <w:rFonts w:ascii="Trebuchet MS" w:hAnsi="Trebuchet MS"/>
          <w:sz w:val="22"/>
          <w:szCs w:val="22"/>
        </w:rPr>
        <w:t>niwolumabem</w:t>
      </w:r>
      <w:proofErr w:type="spellEnd"/>
      <w:r w:rsidRPr="00A61E66">
        <w:rPr>
          <w:rFonts w:ascii="Trebuchet MS" w:hAnsi="Trebuchet MS"/>
          <w:sz w:val="22"/>
          <w:szCs w:val="22"/>
        </w:rPr>
        <w:t> i </w:t>
      </w:r>
      <w:proofErr w:type="spellStart"/>
      <w:r w:rsidRPr="00A61E66">
        <w:rPr>
          <w:rFonts w:ascii="Trebuchet MS" w:hAnsi="Trebuchet MS"/>
          <w:sz w:val="22"/>
          <w:szCs w:val="22"/>
        </w:rPr>
        <w:t>ipilimumabem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została zarejestrowana do leczenia rozsianego czerniaka i jest obecnie dopuszczona w ponad 50 krajach, w tym w Stanach Zjednoczonych i Unii Europejskiej.</w:t>
      </w:r>
    </w:p>
    <w:p w14:paraId="4EB71570" w14:textId="77777777" w:rsidR="008F761B" w:rsidRPr="006C4291" w:rsidRDefault="008F761B" w:rsidP="008F761B">
      <w:pPr>
        <w:widowControl w:val="0"/>
        <w:autoSpaceDE w:val="0"/>
        <w:autoSpaceDN w:val="0"/>
        <w:spacing w:line="360" w:lineRule="auto"/>
        <w:rPr>
          <w:rFonts w:ascii="Trebuchet MS" w:eastAsia="Times New Roman" w:hAnsi="Trebuchet MS"/>
          <w:iCs/>
        </w:rPr>
      </w:pPr>
    </w:p>
    <w:p w14:paraId="60BE3A75" w14:textId="77777777" w:rsidR="008F761B" w:rsidRPr="006C4291" w:rsidRDefault="008F761B" w:rsidP="008F761B">
      <w:pPr>
        <w:widowControl w:val="0"/>
        <w:autoSpaceDE w:val="0"/>
        <w:autoSpaceDN w:val="0"/>
        <w:spacing w:line="360" w:lineRule="auto"/>
        <w:rPr>
          <w:rFonts w:ascii="Trebuchet MS" w:eastAsia="Times New Roman" w:hAnsi="Trebuchet MS"/>
          <w:b/>
          <w:iCs/>
          <w:u w:val="single"/>
        </w:rPr>
      </w:pPr>
      <w:r>
        <w:rPr>
          <w:rFonts w:ascii="Trebuchet MS" w:hAnsi="Trebuchet MS"/>
          <w:b/>
          <w:u w:val="single"/>
        </w:rPr>
        <w:t xml:space="preserve">Informacje o </w:t>
      </w:r>
      <w:proofErr w:type="spellStart"/>
      <w:r>
        <w:rPr>
          <w:rFonts w:ascii="Trebuchet MS" w:hAnsi="Trebuchet MS"/>
          <w:b/>
          <w:u w:val="single"/>
        </w:rPr>
        <w:t>ipilimumabie</w:t>
      </w:r>
      <w:proofErr w:type="spellEnd"/>
    </w:p>
    <w:p w14:paraId="7CD5935C" w14:textId="77777777" w:rsidR="008F761B" w:rsidRPr="00A61E66" w:rsidRDefault="008F761B" w:rsidP="00A61E66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rebuchet MS" w:eastAsia="Times New Roman" w:hAnsi="Trebuchet MS"/>
          <w:iCs/>
          <w:sz w:val="22"/>
          <w:szCs w:val="22"/>
        </w:rPr>
      </w:pPr>
      <w:proofErr w:type="spellStart"/>
      <w:r w:rsidRPr="00A61E66">
        <w:rPr>
          <w:rFonts w:ascii="Trebuchet MS" w:hAnsi="Trebuchet MS"/>
          <w:sz w:val="22"/>
          <w:szCs w:val="22"/>
        </w:rPr>
        <w:t>Ipilimumab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jest rekombinowanym ludzkim przeciwciałem monoklonalnym, które wiąże cytotoksyczny antygen-4 limfocytów T (CTLA-4). CTLA-4 jest negatywnym regulatorem aktywacji limfocytów T. </w:t>
      </w:r>
      <w:proofErr w:type="spellStart"/>
      <w:r w:rsidRPr="00A61E66">
        <w:rPr>
          <w:rFonts w:ascii="Trebuchet MS" w:hAnsi="Trebuchet MS"/>
          <w:sz w:val="22"/>
          <w:szCs w:val="22"/>
        </w:rPr>
        <w:t>Ipilimumab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wiąże się z CTLA-4, blokując interakcje CTLA-4 z jego ligandami CD80/CD86. Wykazano, że blokowanie CTLA-4 wspiera aktywację i proliferację limfocytów T, w tym także aktywację i proliferację efektorowych limfocytów T wnikających do guza. Hamowanie sygnałów CTLA-4 może również osłabiać działanie limfocytów T regulatorowych, przyczyniając się potencjalnie do ogólnego wzrostu odpowiedzi limfocytów T, włącznie z przeciwnowotworową odpowiedzią immunologiczną. 25 marca 2011 r. Amerykańska Agencja Żywności i Leków (FDA) zarejestrowała </w:t>
      </w:r>
      <w:proofErr w:type="spellStart"/>
      <w:r w:rsidRPr="00A61E66">
        <w:rPr>
          <w:rFonts w:ascii="Trebuchet MS" w:hAnsi="Trebuchet MS"/>
          <w:sz w:val="22"/>
          <w:szCs w:val="22"/>
        </w:rPr>
        <w:t>ipilimumab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w dawce 3 mg/kg we wskazaniu do </w:t>
      </w:r>
      <w:proofErr w:type="spellStart"/>
      <w:r w:rsidRPr="00A61E66">
        <w:rPr>
          <w:rFonts w:ascii="Trebuchet MS" w:hAnsi="Trebuchet MS"/>
          <w:sz w:val="22"/>
          <w:szCs w:val="22"/>
        </w:rPr>
        <w:t>monoterapii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pacjentów z nieoperacyjnym lub rozsianym czerniakiem. </w:t>
      </w:r>
      <w:proofErr w:type="spellStart"/>
      <w:r w:rsidRPr="00A61E66">
        <w:rPr>
          <w:rFonts w:ascii="Trebuchet MS" w:hAnsi="Trebuchet MS"/>
          <w:sz w:val="22"/>
          <w:szCs w:val="22"/>
        </w:rPr>
        <w:t>Ipilimumab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jest zarejestrowany do leczenia nieoperacyjnego i przerzutowego czerniaka w ponad 50 krajach. Prowadzone są szeroko zakrojone prace rozwojowe nad stosowaniem </w:t>
      </w:r>
      <w:proofErr w:type="spellStart"/>
      <w:r w:rsidRPr="00A61E66">
        <w:rPr>
          <w:rFonts w:ascii="Trebuchet MS" w:hAnsi="Trebuchet MS"/>
          <w:sz w:val="22"/>
          <w:szCs w:val="22"/>
        </w:rPr>
        <w:t>ipilimumabu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w wielu typach nowotworów.</w:t>
      </w:r>
    </w:p>
    <w:p w14:paraId="2883301A" w14:textId="77777777" w:rsidR="008F761B" w:rsidRPr="00A61E66" w:rsidRDefault="008F761B" w:rsidP="00A61E66">
      <w:pPr>
        <w:widowControl w:val="0"/>
        <w:autoSpaceDE w:val="0"/>
        <w:autoSpaceDN w:val="0"/>
        <w:spacing w:line="23" w:lineRule="atLeast"/>
        <w:jc w:val="both"/>
        <w:rPr>
          <w:rFonts w:ascii="Trebuchet MS" w:eastAsia="Times New Roman" w:hAnsi="Trebuchet MS"/>
          <w:b/>
          <w:bCs/>
          <w:sz w:val="22"/>
          <w:szCs w:val="22"/>
          <w:u w:val="single"/>
        </w:rPr>
      </w:pPr>
    </w:p>
    <w:p w14:paraId="0B46D013" w14:textId="5144E1C4" w:rsidR="008F761B" w:rsidRPr="006C4291" w:rsidRDefault="008F761B" w:rsidP="00A61E66">
      <w:pPr>
        <w:rPr>
          <w:rFonts w:ascii="Trebuchet MS" w:eastAsia="Times New Roman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O współpracy Bristol</w:t>
      </w:r>
      <w:r w:rsidR="007D1F91">
        <w:rPr>
          <w:rFonts w:ascii="Trebuchet MS" w:hAnsi="Trebuchet MS"/>
          <w:b/>
          <w:u w:val="single"/>
        </w:rPr>
        <w:t xml:space="preserve"> </w:t>
      </w:r>
      <w:proofErr w:type="spellStart"/>
      <w:r>
        <w:rPr>
          <w:rFonts w:ascii="Trebuchet MS" w:hAnsi="Trebuchet MS"/>
          <w:b/>
          <w:u w:val="single"/>
        </w:rPr>
        <w:t>Myers</w:t>
      </w:r>
      <w:proofErr w:type="spellEnd"/>
      <w:r>
        <w:rPr>
          <w:rFonts w:ascii="Trebuchet MS" w:hAnsi="Trebuchet MS"/>
          <w:b/>
          <w:u w:val="single"/>
        </w:rPr>
        <w:t xml:space="preserve"> </w:t>
      </w:r>
      <w:proofErr w:type="spellStart"/>
      <w:r>
        <w:rPr>
          <w:rFonts w:ascii="Trebuchet MS" w:hAnsi="Trebuchet MS"/>
          <w:b/>
          <w:u w:val="single"/>
        </w:rPr>
        <w:t>Squibb</w:t>
      </w:r>
      <w:proofErr w:type="spellEnd"/>
      <w:r>
        <w:rPr>
          <w:rFonts w:ascii="Trebuchet MS" w:hAnsi="Trebuchet MS"/>
          <w:b/>
          <w:u w:val="single"/>
        </w:rPr>
        <w:t xml:space="preserve"> i Ono Pharmaceutical</w:t>
      </w:r>
    </w:p>
    <w:p w14:paraId="36A91077" w14:textId="77777777" w:rsidR="008F761B" w:rsidRPr="00A61E66" w:rsidRDefault="008F761B" w:rsidP="00A61E66">
      <w:pPr>
        <w:tabs>
          <w:tab w:val="left" w:pos="720"/>
          <w:tab w:val="left" w:pos="1170"/>
        </w:tabs>
        <w:spacing w:line="360" w:lineRule="auto"/>
        <w:contextualSpacing/>
        <w:jc w:val="both"/>
        <w:rPr>
          <w:rFonts w:ascii="Trebuchet MS" w:eastAsia="Times New Roman" w:hAnsi="Trebuchet MS"/>
          <w:sz w:val="22"/>
          <w:szCs w:val="22"/>
          <w:highlight w:val="yellow"/>
        </w:rPr>
      </w:pPr>
      <w:r>
        <w:rPr>
          <w:rFonts w:ascii="Trebuchet MS" w:hAnsi="Trebuchet MS"/>
        </w:rPr>
        <w:tab/>
      </w:r>
      <w:r w:rsidRPr="00A61E66">
        <w:rPr>
          <w:rFonts w:ascii="Trebuchet MS" w:hAnsi="Trebuchet MS"/>
          <w:sz w:val="22"/>
          <w:szCs w:val="22"/>
        </w:rPr>
        <w:t>W ramach umowy o współpracy zawartej w 2011 roku ze spółką Ono Pharmaceutical, spółka Bristol-</w:t>
      </w:r>
      <w:proofErr w:type="spellStart"/>
      <w:r w:rsidRPr="00A61E66">
        <w:rPr>
          <w:rFonts w:ascii="Trebuchet MS" w:hAnsi="Trebuchet MS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sz w:val="22"/>
          <w:szCs w:val="22"/>
        </w:rPr>
        <w:t>-</w:t>
      </w:r>
      <w:proofErr w:type="spellStart"/>
      <w:r w:rsidRPr="00A61E66">
        <w:rPr>
          <w:rFonts w:ascii="Trebuchet MS" w:hAnsi="Trebuchet MS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rozszerzyła zakres terytorialny swoich praw do prowadzenia prac </w:t>
      </w:r>
      <w:r w:rsidRPr="00A61E66">
        <w:rPr>
          <w:rFonts w:ascii="Trebuchet MS" w:hAnsi="Trebuchet MS"/>
          <w:sz w:val="22"/>
          <w:szCs w:val="22"/>
        </w:rPr>
        <w:lastRenderedPageBreak/>
        <w:t xml:space="preserve">rozwojowych nad </w:t>
      </w:r>
      <w:proofErr w:type="spellStart"/>
      <w:r w:rsidRPr="00A61E66">
        <w:rPr>
          <w:rFonts w:ascii="Trebuchet MS" w:hAnsi="Trebuchet MS"/>
          <w:sz w:val="22"/>
          <w:szCs w:val="22"/>
        </w:rPr>
        <w:t>niwolumabem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i jego komercjalizacji na wszystkie kraje świata z wyjątkiem Japonii, Korei i Tajwanu, gdzie wszystkie prawa do tej cząsteczki zachowała firma Ono. W dniu 23 lipca 2014 r. spółki </w:t>
      </w:r>
      <w:proofErr w:type="spellStart"/>
      <w:r w:rsidRPr="00A61E66">
        <w:rPr>
          <w:rFonts w:ascii="Trebuchet MS" w:hAnsi="Trebuchet MS"/>
          <w:sz w:val="22"/>
          <w:szCs w:val="22"/>
        </w:rPr>
        <w:t>BristolMyers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Sqiubb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i Ono Pharmaceutical podpisały umowę o współpracy strategicznej w zakresie prowadzenia prac rozwojowych i komercjalizacji różnych leków </w:t>
      </w:r>
      <w:proofErr w:type="spellStart"/>
      <w:r w:rsidRPr="00A61E66">
        <w:rPr>
          <w:rFonts w:ascii="Trebuchet MS" w:hAnsi="Trebuchet MS"/>
          <w:sz w:val="22"/>
          <w:szCs w:val="22"/>
        </w:rPr>
        <w:t>immunoonkologicznych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– zarówno w </w:t>
      </w:r>
      <w:proofErr w:type="spellStart"/>
      <w:r w:rsidRPr="00A61E66">
        <w:rPr>
          <w:rFonts w:ascii="Trebuchet MS" w:hAnsi="Trebuchet MS"/>
          <w:sz w:val="22"/>
          <w:szCs w:val="22"/>
        </w:rPr>
        <w:t>monoterapii</w:t>
      </w:r>
      <w:proofErr w:type="spellEnd"/>
      <w:r w:rsidRPr="00A61E66">
        <w:rPr>
          <w:rFonts w:ascii="Trebuchet MS" w:hAnsi="Trebuchet MS"/>
          <w:sz w:val="22"/>
          <w:szCs w:val="22"/>
        </w:rPr>
        <w:t>, jak i terapii skojarzonej – w Japonii, Korei Południowej i na Tajwanie.</w:t>
      </w:r>
    </w:p>
    <w:p w14:paraId="0EE97B7A" w14:textId="77777777" w:rsidR="008F761B" w:rsidRPr="006C4291" w:rsidRDefault="008F761B" w:rsidP="008F761B">
      <w:pPr>
        <w:spacing w:line="360" w:lineRule="auto"/>
        <w:rPr>
          <w:rFonts w:ascii="Trebuchet MS" w:eastAsia="Times New Roman" w:hAnsi="Trebuchet MS"/>
          <w:b/>
          <w:bCs/>
          <w:u w:val="single"/>
        </w:rPr>
      </w:pPr>
    </w:p>
    <w:p w14:paraId="14E77C14" w14:textId="77777777" w:rsidR="00276581" w:rsidRPr="006C4291" w:rsidRDefault="00276581" w:rsidP="00276581">
      <w:pPr>
        <w:spacing w:line="360" w:lineRule="auto"/>
        <w:rPr>
          <w:rFonts w:ascii="Trebuchet MS" w:eastAsia="Times New Roman" w:hAnsi="Trebuchet MS"/>
          <w:b/>
          <w:bCs/>
          <w:u w:val="single"/>
        </w:rPr>
      </w:pPr>
      <w:r>
        <w:rPr>
          <w:rFonts w:ascii="Trebuchet MS" w:hAnsi="Trebuchet MS"/>
          <w:b/>
          <w:u w:val="single"/>
        </w:rPr>
        <w:t xml:space="preserve">O Bristol </w:t>
      </w:r>
      <w:proofErr w:type="spellStart"/>
      <w:r>
        <w:rPr>
          <w:rFonts w:ascii="Trebuchet MS" w:hAnsi="Trebuchet MS"/>
          <w:b/>
          <w:u w:val="single"/>
        </w:rPr>
        <w:t>Myers</w:t>
      </w:r>
      <w:proofErr w:type="spellEnd"/>
      <w:r>
        <w:rPr>
          <w:rFonts w:ascii="Trebuchet MS" w:hAnsi="Trebuchet MS"/>
          <w:b/>
          <w:u w:val="single"/>
        </w:rPr>
        <w:t xml:space="preserve"> </w:t>
      </w:r>
      <w:proofErr w:type="spellStart"/>
      <w:r>
        <w:rPr>
          <w:rFonts w:ascii="Trebuchet MS" w:hAnsi="Trebuchet MS"/>
          <w:b/>
          <w:u w:val="single"/>
        </w:rPr>
        <w:t>Squibb</w:t>
      </w:r>
      <w:proofErr w:type="spellEnd"/>
    </w:p>
    <w:p w14:paraId="0F8FC8A3" w14:textId="002E016F" w:rsidR="00276581" w:rsidRPr="00A61E66" w:rsidRDefault="00276581" w:rsidP="00A61E66">
      <w:pPr>
        <w:spacing w:line="360" w:lineRule="auto"/>
        <w:ind w:firstLine="720"/>
        <w:jc w:val="both"/>
        <w:rPr>
          <w:rFonts w:ascii="Trebuchet MS" w:eastAsia="Times New Roman" w:hAnsi="Trebuchet MS"/>
          <w:sz w:val="22"/>
          <w:szCs w:val="22"/>
        </w:rPr>
      </w:pPr>
      <w:r w:rsidRPr="00A61E66">
        <w:rPr>
          <w:rFonts w:ascii="Trebuchet MS" w:hAnsi="Trebuchet MS"/>
          <w:sz w:val="22"/>
          <w:szCs w:val="22"/>
        </w:rPr>
        <w:t>Bristol</w:t>
      </w:r>
      <w:r w:rsid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jest globalną firmą farmaceutyczną zajmującą się odkrywaniem, opracowywaniem i dostarczaniem innowacyjnych leków pomagających w skutecznym leczeniu pacjentów z poważnymi chorobami. W celu uzyskania dodatkowych informacji na temat Bristol </w:t>
      </w:r>
      <w:proofErr w:type="spellStart"/>
      <w:r w:rsidRPr="00A61E66">
        <w:rPr>
          <w:rFonts w:ascii="Trebuchet MS" w:hAnsi="Trebuchet MS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zapraszamy na naszą stronę</w:t>
      </w:r>
      <w:r w:rsidRPr="00A61E66">
        <w:rPr>
          <w:sz w:val="22"/>
          <w:szCs w:val="22"/>
        </w:rPr>
        <w:t xml:space="preserve"> </w:t>
      </w:r>
      <w:hyperlink r:id="rId12" w:history="1">
        <w:r w:rsidRPr="00A61E66">
          <w:rPr>
            <w:rFonts w:ascii="Trebuchet MS" w:hAnsi="Trebuchet MS"/>
            <w:color w:val="0000FF"/>
            <w:sz w:val="22"/>
            <w:szCs w:val="22"/>
            <w:u w:val="single"/>
          </w:rPr>
          <w:t>BMS.com</w:t>
        </w:r>
      </w:hyperlink>
      <w:r w:rsidRPr="00A61E66">
        <w:rPr>
          <w:rFonts w:ascii="Trebuchet MS" w:hAnsi="Trebuchet MS"/>
          <w:sz w:val="22"/>
          <w:szCs w:val="22"/>
        </w:rPr>
        <w:t xml:space="preserve"> i do śledzenia naszych profili na portalach </w:t>
      </w:r>
      <w:hyperlink r:id="rId13" w:history="1">
        <w:r w:rsidRPr="00A61E66">
          <w:rPr>
            <w:rFonts w:ascii="Trebuchet MS" w:hAnsi="Trebuchet MS"/>
            <w:color w:val="0000FF"/>
            <w:sz w:val="22"/>
            <w:szCs w:val="22"/>
            <w:u w:val="single"/>
          </w:rPr>
          <w:t>LinkedIn</w:t>
        </w:r>
      </w:hyperlink>
      <w:r w:rsidRPr="00A61E66">
        <w:rPr>
          <w:rFonts w:ascii="Trebuchet MS" w:hAnsi="Trebuchet MS"/>
          <w:sz w:val="22"/>
          <w:szCs w:val="22"/>
        </w:rPr>
        <w:t xml:space="preserve">, </w:t>
      </w:r>
      <w:hyperlink r:id="rId14" w:history="1">
        <w:r w:rsidRPr="00A61E66">
          <w:rPr>
            <w:rFonts w:ascii="Trebuchet MS" w:hAnsi="Trebuchet MS"/>
            <w:color w:val="0000FF"/>
            <w:sz w:val="22"/>
            <w:szCs w:val="22"/>
            <w:u w:val="single"/>
          </w:rPr>
          <w:t>Twitter</w:t>
        </w:r>
      </w:hyperlink>
      <w:r w:rsidRPr="00A61E66">
        <w:rPr>
          <w:rFonts w:ascii="Trebuchet MS" w:hAnsi="Trebuchet MS"/>
          <w:sz w:val="22"/>
          <w:szCs w:val="22"/>
        </w:rPr>
        <w:t xml:space="preserve">, </w:t>
      </w:r>
      <w:hyperlink r:id="rId15" w:history="1">
        <w:r w:rsidRPr="00A61E66">
          <w:rPr>
            <w:rFonts w:ascii="Trebuchet MS" w:hAnsi="Trebuchet MS"/>
            <w:color w:val="0000FF"/>
            <w:sz w:val="22"/>
            <w:szCs w:val="22"/>
            <w:u w:val="single"/>
          </w:rPr>
          <w:t>YouTube</w:t>
        </w:r>
      </w:hyperlink>
      <w:r w:rsidRPr="00A61E66">
        <w:rPr>
          <w:rFonts w:ascii="Trebuchet MS" w:hAnsi="Trebuchet MS"/>
          <w:sz w:val="22"/>
          <w:szCs w:val="22"/>
        </w:rPr>
        <w:t xml:space="preserve">, </w:t>
      </w:r>
      <w:hyperlink r:id="rId16" w:history="1">
        <w:r w:rsidRPr="00A61E66">
          <w:rPr>
            <w:rFonts w:ascii="Trebuchet MS" w:hAnsi="Trebuchet MS"/>
            <w:color w:val="0000FF"/>
            <w:sz w:val="22"/>
            <w:szCs w:val="22"/>
            <w:u w:val="single"/>
          </w:rPr>
          <w:t>Facebook</w:t>
        </w:r>
      </w:hyperlink>
      <w:r w:rsidRPr="00A61E66">
        <w:rPr>
          <w:rFonts w:ascii="Trebuchet MS" w:hAnsi="Trebuchet MS"/>
          <w:sz w:val="22"/>
          <w:szCs w:val="22"/>
        </w:rPr>
        <w:t xml:space="preserve"> oraz </w:t>
      </w:r>
      <w:hyperlink r:id="rId17" w:history="1">
        <w:r w:rsidRPr="00A61E66">
          <w:rPr>
            <w:rFonts w:ascii="Trebuchet MS" w:hAnsi="Trebuchet MS"/>
            <w:color w:val="0000FF"/>
            <w:sz w:val="22"/>
            <w:szCs w:val="22"/>
            <w:u w:val="single"/>
          </w:rPr>
          <w:t>Instagram</w:t>
        </w:r>
      </w:hyperlink>
      <w:r w:rsidRPr="00A61E66">
        <w:rPr>
          <w:rFonts w:ascii="Trebuchet MS" w:hAnsi="Trebuchet MS"/>
          <w:sz w:val="22"/>
          <w:szCs w:val="22"/>
        </w:rPr>
        <w:t xml:space="preserve">. </w:t>
      </w:r>
    </w:p>
    <w:p w14:paraId="1A10CB21" w14:textId="5F0A780C" w:rsidR="00276581" w:rsidRPr="00A61E66" w:rsidRDefault="00276581" w:rsidP="00A61E66">
      <w:pPr>
        <w:spacing w:line="360" w:lineRule="auto"/>
        <w:ind w:firstLine="720"/>
        <w:jc w:val="both"/>
        <w:rPr>
          <w:rFonts w:ascii="Trebuchet MS" w:eastAsia="Times New Roman" w:hAnsi="Trebuchet MS"/>
          <w:sz w:val="22"/>
          <w:szCs w:val="22"/>
        </w:rPr>
      </w:pPr>
      <w:proofErr w:type="spellStart"/>
      <w:r w:rsidRPr="00A61E66">
        <w:rPr>
          <w:rFonts w:ascii="Trebuchet MS" w:hAnsi="Trebuchet MS"/>
          <w:sz w:val="22"/>
          <w:szCs w:val="22"/>
        </w:rPr>
        <w:t>Celgene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i Juno </w:t>
      </w:r>
      <w:proofErr w:type="spellStart"/>
      <w:r w:rsidRPr="00A61E66">
        <w:rPr>
          <w:rFonts w:ascii="Trebuchet MS" w:hAnsi="Trebuchet MS"/>
          <w:sz w:val="22"/>
          <w:szCs w:val="22"/>
        </w:rPr>
        <w:t>Therapeutics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są spółkami zależnymi, w całości należącymi do Bristol</w:t>
      </w:r>
      <w:r w:rsid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Company. W niektórych krajach poza Stanami Zjednoczonymi, ze względu na obowiązujące prawo, </w:t>
      </w:r>
      <w:proofErr w:type="spellStart"/>
      <w:r w:rsidRPr="00A61E66">
        <w:rPr>
          <w:rFonts w:ascii="Trebuchet MS" w:hAnsi="Trebuchet MS"/>
          <w:sz w:val="22"/>
          <w:szCs w:val="22"/>
        </w:rPr>
        <w:t>Celgene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i Juno </w:t>
      </w:r>
      <w:proofErr w:type="spellStart"/>
      <w:r w:rsidRPr="00A61E66">
        <w:rPr>
          <w:rFonts w:ascii="Trebuchet MS" w:hAnsi="Trebuchet MS"/>
          <w:sz w:val="22"/>
          <w:szCs w:val="22"/>
        </w:rPr>
        <w:t>Therapeutics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określane są mianem </w:t>
      </w:r>
      <w:proofErr w:type="spellStart"/>
      <w:r w:rsidRPr="00A61E66">
        <w:rPr>
          <w:rFonts w:ascii="Trebuchet MS" w:hAnsi="Trebuchet MS"/>
          <w:sz w:val="22"/>
          <w:szCs w:val="22"/>
        </w:rPr>
        <w:t>Celgene</w:t>
      </w:r>
      <w:proofErr w:type="spellEnd"/>
      <w:r w:rsidRPr="00A61E66">
        <w:rPr>
          <w:rFonts w:ascii="Trebuchet MS" w:hAnsi="Trebuchet MS"/>
          <w:sz w:val="22"/>
          <w:szCs w:val="22"/>
        </w:rPr>
        <w:t>, Bristol</w:t>
      </w:r>
      <w:r w:rsid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Company oraz Juno </w:t>
      </w:r>
      <w:proofErr w:type="spellStart"/>
      <w:r w:rsidRPr="00A61E66">
        <w:rPr>
          <w:rFonts w:ascii="Trebuchet MS" w:hAnsi="Trebuchet MS"/>
          <w:sz w:val="22"/>
          <w:szCs w:val="22"/>
        </w:rPr>
        <w:t>Therapeutics</w:t>
      </w:r>
      <w:proofErr w:type="spellEnd"/>
      <w:r w:rsidRPr="00A61E66">
        <w:rPr>
          <w:rFonts w:ascii="Trebuchet MS" w:hAnsi="Trebuchet MS"/>
          <w:sz w:val="22"/>
          <w:szCs w:val="22"/>
        </w:rPr>
        <w:t>, Bristol-</w:t>
      </w:r>
      <w:proofErr w:type="spellStart"/>
      <w:r w:rsidRPr="00A61E66">
        <w:rPr>
          <w:rFonts w:ascii="Trebuchet MS" w:hAnsi="Trebuchet MS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sz w:val="22"/>
          <w:szCs w:val="22"/>
        </w:rPr>
        <w:t xml:space="preserve"> Company.</w:t>
      </w:r>
    </w:p>
    <w:p w14:paraId="114D6BC6" w14:textId="77777777" w:rsidR="00276581" w:rsidRPr="006C4291" w:rsidRDefault="00276581" w:rsidP="00276581">
      <w:pPr>
        <w:spacing w:line="23" w:lineRule="atLeast"/>
        <w:ind w:firstLine="720"/>
        <w:rPr>
          <w:rFonts w:ascii="Trebuchet MS" w:eastAsia="Times New Roman" w:hAnsi="Trebuchet MS" w:cs="Times New Roman"/>
          <w:color w:val="FF0000"/>
        </w:rPr>
      </w:pPr>
    </w:p>
    <w:p w14:paraId="622C3E4B" w14:textId="77777777" w:rsidR="00276581" w:rsidRPr="006C4291" w:rsidRDefault="00276581" w:rsidP="00276581">
      <w:pPr>
        <w:rPr>
          <w:rFonts w:ascii="Trebuchet MS" w:eastAsia="Times New Roman" w:hAnsi="Trebuchet MS"/>
          <w:color w:val="000000"/>
          <w:u w:val="single"/>
        </w:rPr>
      </w:pPr>
      <w:r>
        <w:rPr>
          <w:rFonts w:ascii="Trebuchet MS" w:hAnsi="Trebuchet MS"/>
          <w:b/>
          <w:color w:val="000000"/>
          <w:u w:val="single"/>
        </w:rPr>
        <w:t>Ostrzeżenie dotyczące stwierdzeń wybiegających w przyszłość</w:t>
      </w:r>
    </w:p>
    <w:p w14:paraId="565E9DA5" w14:textId="133250DC" w:rsidR="00276581" w:rsidRPr="00A61E66" w:rsidRDefault="00276581" w:rsidP="00A61E66">
      <w:pPr>
        <w:jc w:val="both"/>
        <w:rPr>
          <w:rFonts w:ascii="Trebuchet MS" w:eastAsia="Times New Roman" w:hAnsi="Trebuchet MS"/>
          <w:i/>
          <w:color w:val="000000"/>
          <w:sz w:val="22"/>
          <w:szCs w:val="22"/>
        </w:rPr>
      </w:pPr>
      <w:r w:rsidRPr="00A61E66">
        <w:rPr>
          <w:rFonts w:ascii="Trebuchet MS" w:hAnsi="Trebuchet MS"/>
          <w:i/>
          <w:color w:val="000000"/>
          <w:sz w:val="22"/>
          <w:szCs w:val="22"/>
        </w:rPr>
        <w:t>Niniejsza informacja prasowa zawiera tzw. stwierdzenia wybiegające w przyszłość w rozumieniu amerykańskiej ustawy z 1995 roku o reformie postępowania sądowego w sprawach związanych z prywatnymi papierami wartościowymi (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Private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Securities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Litigation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Reform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Act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of 1995). Stwierdzenia te odnoszą się między innymi do prac badawczych i rozwojowych nad produktami farmaceutycznymi oraz do ich komercjalizacji. Wszelkie stwierdzenia, które nie dotyczą faktów historycznych, są lub mogą być uznane za stwierdzenia wybiegające w przyszłość. Owe stwierdzenia wybiegające w przyszłość oparte są na przeszłych wynikach i teraźniejszych oczekiwaniach dotyczących naszych przyszłych wyników finansowych, celów i planów, i siłą rzeczy związane jest z nimi pewne ryzyko i niepewność, w tym też czynniki, które mogłyby opóźnić lub zmienić którekolwiek z nich w perspektywie kolejnych lat, które są trudne do przewidzenia i pozostają poza naszą kontrolą oraz które mogłyby być odpowiedzialne za to, że faktyczne wyniki w przyszłości będą się istotnie różnić od teraźniejszych oczekiwań. Zagrożenia, założenia i niepewności oraz inne czynniki dotyczą między innymi tego, czy wyniki badań w przyszłości będą zbieżne z osiąganymi dotychczas, tego, czy leczenie z zastosowaniem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niwolumabu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w skojarzeniu z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ipilimumabem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w dodatkowym wskazaniu opisanym w niniejszej informacji prasowej odniesie sukces rynkowy. Nie można zagwarantować, że jakiekolwiek stwierdzenie wybiegające w przyszłość się potwierdzi. Zawarte w niniejszej informacji prasowej stwierdzenia wybiegające w przyszłość powinny być oceniane w kontekście wielu zagrożeń i niepewności mających wpływ na działalność firmy Bristol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oraz sytuację na rynku, szczególnie tych, które wskazano w omówieniu czynników ostrożnościowych i czynników ryzyka w sprawozdaniu rocznym firmy Bristol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złożonym na Formularzu 10-K za rok zakończony 31 grudnia 2018 roku, w naszych sprawozdaniach kwartalnych </w:t>
      </w:r>
      <w:r w:rsidRPr="00A61E66">
        <w:rPr>
          <w:rFonts w:ascii="Trebuchet MS" w:hAnsi="Trebuchet MS"/>
          <w:i/>
          <w:color w:val="000000"/>
          <w:sz w:val="22"/>
          <w:szCs w:val="22"/>
        </w:rPr>
        <w:lastRenderedPageBreak/>
        <w:t xml:space="preserve">składanych na Formularzu 10 Q, w sprawozdaniach bieżących składanych na Formularzu 8 K oraz innych dokumentach składanych w amerykańskiej Komisji Papierów Wartościowych i Giełd (ang. Securities and Exchange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Commission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>). Stwierdzenia wybiegające w przyszłość zawarte w niniejszym dokumencie mają zastosowanie wyłącznie w dniu publikacji niniejszego dokumentu i o ile obowiązujące prawo nie stanowi inaczej, Bristol-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i/>
          <w:color w:val="000000"/>
          <w:sz w:val="22"/>
          <w:szCs w:val="22"/>
        </w:rPr>
        <w:t>Squibb</w:t>
      </w:r>
      <w:proofErr w:type="spellEnd"/>
      <w:r w:rsidRPr="00A61E66">
        <w:rPr>
          <w:rFonts w:ascii="Trebuchet MS" w:hAnsi="Trebuchet MS"/>
          <w:i/>
          <w:color w:val="000000"/>
          <w:sz w:val="22"/>
          <w:szCs w:val="22"/>
        </w:rPr>
        <w:t xml:space="preserve"> nie przyjmuje na siebie żadnego zobowiązania do publicznego aktualizowania jakichkolwiek stwierdzeń wybiegających w przyszłość w wyniku uzyskania nowych informacji, wystąpienia określonych zdarzeń w przyszłości, zmiany okoliczności ani z innych przyczyn.</w:t>
      </w:r>
    </w:p>
    <w:p w14:paraId="7B16F7B9" w14:textId="77777777" w:rsidR="008F761B" w:rsidRPr="006C4291" w:rsidRDefault="008F761B" w:rsidP="008F761B">
      <w:pPr>
        <w:spacing w:line="23" w:lineRule="atLeast"/>
        <w:rPr>
          <w:rFonts w:ascii="Trebuchet MS" w:eastAsia="Times New Roman" w:hAnsi="Trebuchet MS"/>
          <w:color w:val="000000"/>
        </w:rPr>
      </w:pPr>
    </w:p>
    <w:p w14:paraId="3B2A5DAB" w14:textId="77777777" w:rsidR="008F761B" w:rsidRPr="006C4291" w:rsidRDefault="008F761B" w:rsidP="008F761B">
      <w:pPr>
        <w:spacing w:line="23" w:lineRule="atLeast"/>
        <w:jc w:val="center"/>
        <w:rPr>
          <w:rFonts w:ascii="Trebuchet MS" w:eastAsia="Times New Roman" w:hAnsi="Trebuchet MS"/>
          <w:color w:val="000000"/>
        </w:rPr>
      </w:pPr>
      <w:r>
        <w:rPr>
          <w:rFonts w:ascii="Trebuchet MS" w:hAnsi="Trebuchet MS"/>
          <w:color w:val="000000"/>
        </w:rPr>
        <w:t>#   #   #</w:t>
      </w:r>
    </w:p>
    <w:p w14:paraId="6358491A" w14:textId="77777777" w:rsidR="008F761B" w:rsidRPr="00A61E66" w:rsidRDefault="008F761B" w:rsidP="008F761B">
      <w:pPr>
        <w:spacing w:line="23" w:lineRule="atLeast"/>
        <w:rPr>
          <w:rFonts w:ascii="Trebuchet MS" w:eastAsia="Times New Roman" w:hAnsi="Trebuchet MS" w:cs="Times New Roman"/>
          <w:b/>
          <w:sz w:val="22"/>
          <w:szCs w:val="22"/>
        </w:rPr>
      </w:pPr>
    </w:p>
    <w:p w14:paraId="4CF95E6F" w14:textId="77777777" w:rsidR="008F761B" w:rsidRPr="00A61E66" w:rsidRDefault="008F761B" w:rsidP="008F761B">
      <w:pPr>
        <w:rPr>
          <w:rFonts w:ascii="Trebuchet MS" w:eastAsia="Times New Roman" w:hAnsi="Trebuchet MS"/>
          <w:b/>
          <w:sz w:val="22"/>
          <w:szCs w:val="22"/>
        </w:rPr>
      </w:pPr>
      <w:bookmarkStart w:id="3" w:name="_Hlk34737450"/>
      <w:r w:rsidRPr="00A61E66">
        <w:rPr>
          <w:rFonts w:ascii="Trebuchet MS" w:hAnsi="Trebuchet MS"/>
          <w:b/>
          <w:sz w:val="22"/>
          <w:szCs w:val="22"/>
        </w:rPr>
        <w:t>Osoby kontaktowe:</w:t>
      </w:r>
    </w:p>
    <w:p w14:paraId="026A6B09" w14:textId="5E36BC23" w:rsidR="008F761B" w:rsidRPr="00A61E66" w:rsidRDefault="008F761B" w:rsidP="008F761B">
      <w:pPr>
        <w:rPr>
          <w:rFonts w:ascii="Trebuchet MS" w:hAnsi="Trebuchet MS"/>
          <w:b/>
          <w:sz w:val="22"/>
          <w:szCs w:val="22"/>
        </w:rPr>
      </w:pPr>
      <w:r w:rsidRPr="00A61E66">
        <w:rPr>
          <w:rFonts w:ascii="Trebuchet MS" w:hAnsi="Trebuchet MS"/>
          <w:b/>
          <w:sz w:val="22"/>
          <w:szCs w:val="22"/>
        </w:rPr>
        <w:t xml:space="preserve">Bristol </w:t>
      </w:r>
      <w:proofErr w:type="spellStart"/>
      <w:r w:rsidRPr="00A61E66">
        <w:rPr>
          <w:rFonts w:ascii="Trebuchet MS" w:hAnsi="Trebuchet MS"/>
          <w:b/>
          <w:sz w:val="22"/>
          <w:szCs w:val="22"/>
        </w:rPr>
        <w:t>Myers</w:t>
      </w:r>
      <w:proofErr w:type="spellEnd"/>
      <w:r w:rsidRPr="00A61E66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61E66">
        <w:rPr>
          <w:rFonts w:ascii="Trebuchet MS" w:hAnsi="Trebuchet MS"/>
          <w:b/>
          <w:sz w:val="22"/>
          <w:szCs w:val="22"/>
        </w:rPr>
        <w:t>Squibb</w:t>
      </w:r>
      <w:proofErr w:type="spellEnd"/>
    </w:p>
    <w:p w14:paraId="74DC7C61" w14:textId="0DEA323F" w:rsidR="00C05AC0" w:rsidRPr="00A61E66" w:rsidRDefault="00C05AC0" w:rsidP="008F761B">
      <w:pPr>
        <w:rPr>
          <w:rFonts w:ascii="Trebuchet MS" w:eastAsia="Times New Roman" w:hAnsi="Trebuchet MS"/>
          <w:b/>
          <w:sz w:val="22"/>
          <w:szCs w:val="22"/>
        </w:rPr>
      </w:pPr>
      <w:r w:rsidRPr="00A61E66">
        <w:rPr>
          <w:rFonts w:ascii="Trebuchet MS" w:eastAsia="Times New Roman" w:hAnsi="Trebuchet MS"/>
          <w:b/>
          <w:sz w:val="22"/>
          <w:szCs w:val="22"/>
        </w:rPr>
        <w:t>elzbieta.lapot@bms.com</w:t>
      </w:r>
    </w:p>
    <w:p w14:paraId="4798EFCB" w14:textId="4CEA2B50" w:rsidR="008F761B" w:rsidRPr="00A61E66" w:rsidRDefault="008F761B" w:rsidP="008F761B">
      <w:pPr>
        <w:rPr>
          <w:rFonts w:ascii="Trebuchet MS" w:eastAsia="Times New Roman" w:hAnsi="Trebuchet MS"/>
          <w:b/>
          <w:sz w:val="22"/>
          <w:szCs w:val="22"/>
        </w:rPr>
      </w:pPr>
    </w:p>
    <w:p w14:paraId="4A38FE5C" w14:textId="77777777" w:rsidR="00944847" w:rsidRPr="00A61E66" w:rsidRDefault="00944847" w:rsidP="00AF6CDC">
      <w:pPr>
        <w:ind w:left="5760" w:firstLine="720"/>
        <w:rPr>
          <w:rFonts w:ascii="Trebuchet MS" w:eastAsia="Times New Roman" w:hAnsi="Trebuchet MS"/>
          <w:b/>
          <w:sz w:val="20"/>
          <w:szCs w:val="22"/>
        </w:rPr>
      </w:pPr>
    </w:p>
    <w:p w14:paraId="4E8C7E25" w14:textId="6F596A36" w:rsidR="00AF6CDC" w:rsidRPr="00A61E66" w:rsidRDefault="00AF6CDC" w:rsidP="00944847">
      <w:pPr>
        <w:ind w:left="5760"/>
        <w:rPr>
          <w:rFonts w:ascii="Trebuchet MS" w:eastAsia="Times New Roman" w:hAnsi="Trebuchet MS"/>
          <w:b/>
          <w:sz w:val="20"/>
          <w:szCs w:val="22"/>
        </w:rPr>
      </w:pPr>
      <w:r w:rsidRPr="00A61E66">
        <w:rPr>
          <w:rFonts w:ascii="Trebuchet MS" w:eastAsia="Times New Roman" w:hAnsi="Trebuchet MS"/>
          <w:b/>
          <w:sz w:val="20"/>
          <w:szCs w:val="22"/>
        </w:rPr>
        <w:t>1506PL2003310-01</w:t>
      </w:r>
      <w:r w:rsidR="00944847" w:rsidRPr="00A61E66">
        <w:rPr>
          <w:rFonts w:ascii="Trebuchet MS" w:eastAsia="Times New Roman" w:hAnsi="Trebuchet MS"/>
          <w:b/>
          <w:sz w:val="20"/>
          <w:szCs w:val="22"/>
        </w:rPr>
        <w:t>,05.2020</w:t>
      </w:r>
    </w:p>
    <w:bookmarkEnd w:id="3"/>
    <w:p w14:paraId="581787CA" w14:textId="094DD262" w:rsidR="00FA4FFC" w:rsidRPr="006059C0" w:rsidRDefault="00FA4FFC" w:rsidP="008F761B">
      <w:pPr>
        <w:contextualSpacing/>
        <w:rPr>
          <w:rFonts w:ascii="Trebuchet MS" w:hAnsi="Trebuchet MS"/>
          <w:bCs/>
          <w:sz w:val="22"/>
          <w:szCs w:val="22"/>
          <w:u w:val="single"/>
        </w:rPr>
      </w:pPr>
    </w:p>
    <w:sectPr w:rsidR="00FA4FFC" w:rsidRPr="006059C0" w:rsidSect="00FC4491">
      <w:headerReference w:type="even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9CF" w16cex:dateUtc="2020-05-21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29EF" w14:textId="77777777" w:rsidR="00A15EFA" w:rsidRDefault="00A15EFA">
      <w:r>
        <w:separator/>
      </w:r>
    </w:p>
  </w:endnote>
  <w:endnote w:type="continuationSeparator" w:id="0">
    <w:p w14:paraId="26825354" w14:textId="77777777" w:rsidR="00A15EFA" w:rsidRDefault="00A15EFA">
      <w:r>
        <w:continuationSeparator/>
      </w:r>
    </w:p>
  </w:endnote>
  <w:endnote w:type="continuationNotice" w:id="1">
    <w:p w14:paraId="1A9AEF58" w14:textId="77777777" w:rsidR="00A15EFA" w:rsidRDefault="00A15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55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C66E1" w14:textId="131A9827" w:rsidR="006C4291" w:rsidRDefault="006C429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AC0">
          <w:rPr>
            <w:noProof/>
          </w:rPr>
          <w:t>8</w:t>
        </w:r>
        <w:r>
          <w:fldChar w:fldCharType="end"/>
        </w:r>
      </w:p>
    </w:sdtContent>
  </w:sdt>
  <w:p w14:paraId="45DB9C82" w14:textId="77777777" w:rsidR="006C4291" w:rsidRDefault="006C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0047" w14:textId="77777777" w:rsidR="00A15EFA" w:rsidRDefault="00A15EFA">
      <w:r>
        <w:separator/>
      </w:r>
    </w:p>
  </w:footnote>
  <w:footnote w:type="continuationSeparator" w:id="0">
    <w:p w14:paraId="0A3A0746" w14:textId="77777777" w:rsidR="00A15EFA" w:rsidRDefault="00A15EFA">
      <w:r>
        <w:continuationSeparator/>
      </w:r>
    </w:p>
  </w:footnote>
  <w:footnote w:type="continuationNotice" w:id="1">
    <w:p w14:paraId="7C81D8EC" w14:textId="77777777" w:rsidR="00A15EFA" w:rsidRDefault="00A15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120A" w14:textId="77777777" w:rsidR="00FC4491" w:rsidRDefault="00550E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0EE5A0" wp14:editId="318BF6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106045"/>
              <wp:effectExtent l="0" t="1917700" r="0" b="1905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64CCD" w14:textId="77777777" w:rsidR="00FC4491" w:rsidRDefault="00550E22" w:rsidP="00FC449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EE5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94.9pt;height:8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F664CCD" w14:textId="77777777" w:rsidR="00FC4491" w:rsidRDefault="00550E22" w:rsidP="00FC4491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15EFA">
      <w:pict w14:anchorId="6176C2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94.9pt;height:164.95pt;rotation:315;z-index:-25165619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JEKT"/>
          <w10:wrap anchorx="margin" anchory="margin"/>
        </v:shape>
      </w:pict>
    </w:r>
    <w:r w:rsidR="00A15EFA">
      <w:pict w14:anchorId="24152521">
        <v:shape id="PowerPlusWaterMarkObject1" o:spid="_x0000_s2050" type="#_x0000_t136" style="position:absolute;margin-left:0;margin-top:0;width:494.9pt;height:164.95pt;rotation:315;z-index:-251658240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D89E" w14:textId="77777777" w:rsidR="00FC4491" w:rsidRDefault="00550E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09EFAEC" wp14:editId="6E0CD6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106045"/>
              <wp:effectExtent l="0" t="1917700" r="0" b="1905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7F432" w14:textId="77777777" w:rsidR="00FC4491" w:rsidRDefault="00550E22" w:rsidP="00FC449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EFA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94.9pt;height:8.3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067F432" w14:textId="77777777" w:rsidR="00FC4491" w:rsidRDefault="00550E22" w:rsidP="00FC4491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15EFA">
      <w:pict w14:anchorId="7D841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494.9pt;height:164.95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170"/>
    <w:multiLevelType w:val="hybridMultilevel"/>
    <w:tmpl w:val="B32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20B5A"/>
    <w:multiLevelType w:val="hybridMultilevel"/>
    <w:tmpl w:val="38F46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ACB"/>
    <w:multiLevelType w:val="hybridMultilevel"/>
    <w:tmpl w:val="0898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2291"/>
    <w:multiLevelType w:val="hybridMultilevel"/>
    <w:tmpl w:val="A7A2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35FF"/>
    <w:multiLevelType w:val="hybridMultilevel"/>
    <w:tmpl w:val="91108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74403"/>
    <w:multiLevelType w:val="hybridMultilevel"/>
    <w:tmpl w:val="C712B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03708"/>
    <w:multiLevelType w:val="hybridMultilevel"/>
    <w:tmpl w:val="B8CC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FC"/>
    <w:rsid w:val="0001390E"/>
    <w:rsid w:val="00013B41"/>
    <w:rsid w:val="00021854"/>
    <w:rsid w:val="00030A79"/>
    <w:rsid w:val="00034549"/>
    <w:rsid w:val="0004667B"/>
    <w:rsid w:val="00062481"/>
    <w:rsid w:val="000650AA"/>
    <w:rsid w:val="000764A6"/>
    <w:rsid w:val="000848F3"/>
    <w:rsid w:val="00090E5D"/>
    <w:rsid w:val="00091F79"/>
    <w:rsid w:val="000B43F9"/>
    <w:rsid w:val="000B5C01"/>
    <w:rsid w:val="000D1603"/>
    <w:rsid w:val="000E73FF"/>
    <w:rsid w:val="000F22E7"/>
    <w:rsid w:val="000F5C34"/>
    <w:rsid w:val="000F7E6B"/>
    <w:rsid w:val="001002DB"/>
    <w:rsid w:val="00134DF0"/>
    <w:rsid w:val="00152441"/>
    <w:rsid w:val="00160021"/>
    <w:rsid w:val="00162B68"/>
    <w:rsid w:val="0016632B"/>
    <w:rsid w:val="00172196"/>
    <w:rsid w:val="00175DF2"/>
    <w:rsid w:val="001848AB"/>
    <w:rsid w:val="001978A2"/>
    <w:rsid w:val="001B7524"/>
    <w:rsid w:val="001B7860"/>
    <w:rsid w:val="001D6BCD"/>
    <w:rsid w:val="001E5CAF"/>
    <w:rsid w:val="001E6E95"/>
    <w:rsid w:val="001F216B"/>
    <w:rsid w:val="001F513E"/>
    <w:rsid w:val="0020318D"/>
    <w:rsid w:val="002124EA"/>
    <w:rsid w:val="00217D51"/>
    <w:rsid w:val="00221B1F"/>
    <w:rsid w:val="0023444F"/>
    <w:rsid w:val="00242053"/>
    <w:rsid w:val="00267680"/>
    <w:rsid w:val="00273162"/>
    <w:rsid w:val="00273668"/>
    <w:rsid w:val="0027559D"/>
    <w:rsid w:val="00276581"/>
    <w:rsid w:val="002813B4"/>
    <w:rsid w:val="00292F7D"/>
    <w:rsid w:val="002957E1"/>
    <w:rsid w:val="002A16A2"/>
    <w:rsid w:val="002A36EA"/>
    <w:rsid w:val="002A7902"/>
    <w:rsid w:val="002B51A6"/>
    <w:rsid w:val="002C1C51"/>
    <w:rsid w:val="002C27AA"/>
    <w:rsid w:val="002C57B0"/>
    <w:rsid w:val="002D336D"/>
    <w:rsid w:val="002D5663"/>
    <w:rsid w:val="002D5F3A"/>
    <w:rsid w:val="002D7182"/>
    <w:rsid w:val="002E1EC2"/>
    <w:rsid w:val="002E3525"/>
    <w:rsid w:val="002E4559"/>
    <w:rsid w:val="002F7C40"/>
    <w:rsid w:val="003010BA"/>
    <w:rsid w:val="00306147"/>
    <w:rsid w:val="003068CE"/>
    <w:rsid w:val="00306A58"/>
    <w:rsid w:val="00311880"/>
    <w:rsid w:val="00322A1F"/>
    <w:rsid w:val="00322F96"/>
    <w:rsid w:val="00323863"/>
    <w:rsid w:val="00353F0C"/>
    <w:rsid w:val="003657A1"/>
    <w:rsid w:val="00370078"/>
    <w:rsid w:val="00391357"/>
    <w:rsid w:val="00392301"/>
    <w:rsid w:val="003A428B"/>
    <w:rsid w:val="003B0D33"/>
    <w:rsid w:val="003B34F7"/>
    <w:rsid w:val="003B5D35"/>
    <w:rsid w:val="003B60CF"/>
    <w:rsid w:val="003C7926"/>
    <w:rsid w:val="003C7D67"/>
    <w:rsid w:val="003D4F7D"/>
    <w:rsid w:val="003E62DE"/>
    <w:rsid w:val="003F4C57"/>
    <w:rsid w:val="00416E29"/>
    <w:rsid w:val="00421EF9"/>
    <w:rsid w:val="00432CC2"/>
    <w:rsid w:val="00441D6B"/>
    <w:rsid w:val="0044665C"/>
    <w:rsid w:val="00465926"/>
    <w:rsid w:val="00466733"/>
    <w:rsid w:val="0047057B"/>
    <w:rsid w:val="00477142"/>
    <w:rsid w:val="00480221"/>
    <w:rsid w:val="00482913"/>
    <w:rsid w:val="00484C46"/>
    <w:rsid w:val="00487FF6"/>
    <w:rsid w:val="004948AB"/>
    <w:rsid w:val="004A4350"/>
    <w:rsid w:val="004D4298"/>
    <w:rsid w:val="004E0CAB"/>
    <w:rsid w:val="004E580C"/>
    <w:rsid w:val="00500A2F"/>
    <w:rsid w:val="0050608D"/>
    <w:rsid w:val="00506311"/>
    <w:rsid w:val="00522443"/>
    <w:rsid w:val="0052384C"/>
    <w:rsid w:val="0053458A"/>
    <w:rsid w:val="00536EAB"/>
    <w:rsid w:val="00545DC0"/>
    <w:rsid w:val="00550E22"/>
    <w:rsid w:val="00556D8B"/>
    <w:rsid w:val="00557C06"/>
    <w:rsid w:val="00557FA6"/>
    <w:rsid w:val="00564EF6"/>
    <w:rsid w:val="0057000F"/>
    <w:rsid w:val="005703E6"/>
    <w:rsid w:val="00575AD9"/>
    <w:rsid w:val="00592EE1"/>
    <w:rsid w:val="005A6175"/>
    <w:rsid w:val="005B16E5"/>
    <w:rsid w:val="005B5B45"/>
    <w:rsid w:val="005D40B3"/>
    <w:rsid w:val="005D54FF"/>
    <w:rsid w:val="005E45D3"/>
    <w:rsid w:val="006059C0"/>
    <w:rsid w:val="006070A0"/>
    <w:rsid w:val="00610D5D"/>
    <w:rsid w:val="006125C7"/>
    <w:rsid w:val="00617452"/>
    <w:rsid w:val="00632C90"/>
    <w:rsid w:val="00633550"/>
    <w:rsid w:val="00633975"/>
    <w:rsid w:val="00653489"/>
    <w:rsid w:val="006544D0"/>
    <w:rsid w:val="00654A9D"/>
    <w:rsid w:val="00656BC0"/>
    <w:rsid w:val="00657624"/>
    <w:rsid w:val="00691518"/>
    <w:rsid w:val="006923A8"/>
    <w:rsid w:val="006A27D7"/>
    <w:rsid w:val="006A6752"/>
    <w:rsid w:val="006B6D0A"/>
    <w:rsid w:val="006C1C26"/>
    <w:rsid w:val="006C4291"/>
    <w:rsid w:val="006D31F4"/>
    <w:rsid w:val="006E45CF"/>
    <w:rsid w:val="006F0B2D"/>
    <w:rsid w:val="006F229D"/>
    <w:rsid w:val="006F2404"/>
    <w:rsid w:val="00706D65"/>
    <w:rsid w:val="00713DF5"/>
    <w:rsid w:val="00714546"/>
    <w:rsid w:val="007360C7"/>
    <w:rsid w:val="00741123"/>
    <w:rsid w:val="00746F33"/>
    <w:rsid w:val="007546CB"/>
    <w:rsid w:val="007549CF"/>
    <w:rsid w:val="00762C4D"/>
    <w:rsid w:val="00763C16"/>
    <w:rsid w:val="00766B11"/>
    <w:rsid w:val="00776DE5"/>
    <w:rsid w:val="00782322"/>
    <w:rsid w:val="007918A9"/>
    <w:rsid w:val="00792436"/>
    <w:rsid w:val="00792EEB"/>
    <w:rsid w:val="007A221D"/>
    <w:rsid w:val="007A3967"/>
    <w:rsid w:val="007B2629"/>
    <w:rsid w:val="007B52B4"/>
    <w:rsid w:val="007D1F91"/>
    <w:rsid w:val="007E584C"/>
    <w:rsid w:val="007E759A"/>
    <w:rsid w:val="008324D8"/>
    <w:rsid w:val="00832D77"/>
    <w:rsid w:val="00843A54"/>
    <w:rsid w:val="008453DE"/>
    <w:rsid w:val="00866367"/>
    <w:rsid w:val="0086682B"/>
    <w:rsid w:val="00880883"/>
    <w:rsid w:val="00881E64"/>
    <w:rsid w:val="008822A8"/>
    <w:rsid w:val="0088689C"/>
    <w:rsid w:val="008917D3"/>
    <w:rsid w:val="008A28A4"/>
    <w:rsid w:val="008A331E"/>
    <w:rsid w:val="008A3A58"/>
    <w:rsid w:val="008C03D5"/>
    <w:rsid w:val="008C0A18"/>
    <w:rsid w:val="008C3609"/>
    <w:rsid w:val="008D6194"/>
    <w:rsid w:val="008D6C61"/>
    <w:rsid w:val="008D7922"/>
    <w:rsid w:val="008F761B"/>
    <w:rsid w:val="00904923"/>
    <w:rsid w:val="0090565A"/>
    <w:rsid w:val="00905D4E"/>
    <w:rsid w:val="00920B13"/>
    <w:rsid w:val="00926E6E"/>
    <w:rsid w:val="00930B5D"/>
    <w:rsid w:val="00940D3B"/>
    <w:rsid w:val="00944847"/>
    <w:rsid w:val="00947055"/>
    <w:rsid w:val="00947749"/>
    <w:rsid w:val="0095092A"/>
    <w:rsid w:val="00960005"/>
    <w:rsid w:val="009863C6"/>
    <w:rsid w:val="00993D7E"/>
    <w:rsid w:val="009B29BB"/>
    <w:rsid w:val="009D114B"/>
    <w:rsid w:val="009E2F15"/>
    <w:rsid w:val="00A15EFA"/>
    <w:rsid w:val="00A27A40"/>
    <w:rsid w:val="00A33DC0"/>
    <w:rsid w:val="00A44D9F"/>
    <w:rsid w:val="00A61E66"/>
    <w:rsid w:val="00A622D1"/>
    <w:rsid w:val="00A64EEE"/>
    <w:rsid w:val="00A74427"/>
    <w:rsid w:val="00A92DB2"/>
    <w:rsid w:val="00A9443B"/>
    <w:rsid w:val="00AB1506"/>
    <w:rsid w:val="00AB6E46"/>
    <w:rsid w:val="00AB70BF"/>
    <w:rsid w:val="00AC3D1A"/>
    <w:rsid w:val="00AE3502"/>
    <w:rsid w:val="00AE44A2"/>
    <w:rsid w:val="00AF1E57"/>
    <w:rsid w:val="00AF40C0"/>
    <w:rsid w:val="00AF4363"/>
    <w:rsid w:val="00AF6CDC"/>
    <w:rsid w:val="00B20347"/>
    <w:rsid w:val="00B2598C"/>
    <w:rsid w:val="00B3254C"/>
    <w:rsid w:val="00B37357"/>
    <w:rsid w:val="00B56E4B"/>
    <w:rsid w:val="00B62084"/>
    <w:rsid w:val="00B64EB3"/>
    <w:rsid w:val="00B67965"/>
    <w:rsid w:val="00B7431B"/>
    <w:rsid w:val="00B84388"/>
    <w:rsid w:val="00BB11B0"/>
    <w:rsid w:val="00BB338C"/>
    <w:rsid w:val="00BC3371"/>
    <w:rsid w:val="00BE0F19"/>
    <w:rsid w:val="00BE51D4"/>
    <w:rsid w:val="00C010EF"/>
    <w:rsid w:val="00C052DA"/>
    <w:rsid w:val="00C05AC0"/>
    <w:rsid w:val="00C07CF3"/>
    <w:rsid w:val="00C15E7F"/>
    <w:rsid w:val="00C175DA"/>
    <w:rsid w:val="00C20130"/>
    <w:rsid w:val="00C26591"/>
    <w:rsid w:val="00C37DDF"/>
    <w:rsid w:val="00C50234"/>
    <w:rsid w:val="00C67CF9"/>
    <w:rsid w:val="00C77764"/>
    <w:rsid w:val="00C909C3"/>
    <w:rsid w:val="00CA0540"/>
    <w:rsid w:val="00CB3DA2"/>
    <w:rsid w:val="00CC2C8B"/>
    <w:rsid w:val="00CC63C0"/>
    <w:rsid w:val="00CD26B2"/>
    <w:rsid w:val="00CE590A"/>
    <w:rsid w:val="00CF4F1B"/>
    <w:rsid w:val="00CF5D7D"/>
    <w:rsid w:val="00D03B5A"/>
    <w:rsid w:val="00D226AC"/>
    <w:rsid w:val="00D24F05"/>
    <w:rsid w:val="00D24F87"/>
    <w:rsid w:val="00D25533"/>
    <w:rsid w:val="00D27F36"/>
    <w:rsid w:val="00D34F76"/>
    <w:rsid w:val="00D35781"/>
    <w:rsid w:val="00D36EAF"/>
    <w:rsid w:val="00D4074E"/>
    <w:rsid w:val="00D43830"/>
    <w:rsid w:val="00D4611D"/>
    <w:rsid w:val="00D51724"/>
    <w:rsid w:val="00D53AB8"/>
    <w:rsid w:val="00D61BB1"/>
    <w:rsid w:val="00D61E26"/>
    <w:rsid w:val="00D767A8"/>
    <w:rsid w:val="00D77C58"/>
    <w:rsid w:val="00D77ED4"/>
    <w:rsid w:val="00D85EE8"/>
    <w:rsid w:val="00DA392D"/>
    <w:rsid w:val="00DB1111"/>
    <w:rsid w:val="00DC3DB7"/>
    <w:rsid w:val="00DC5588"/>
    <w:rsid w:val="00DD6BB2"/>
    <w:rsid w:val="00DE1483"/>
    <w:rsid w:val="00DE148C"/>
    <w:rsid w:val="00DF00FA"/>
    <w:rsid w:val="00DF1742"/>
    <w:rsid w:val="00DF5562"/>
    <w:rsid w:val="00E00AA2"/>
    <w:rsid w:val="00E047FC"/>
    <w:rsid w:val="00E15F5F"/>
    <w:rsid w:val="00E16C0C"/>
    <w:rsid w:val="00E20947"/>
    <w:rsid w:val="00E2174E"/>
    <w:rsid w:val="00E24B03"/>
    <w:rsid w:val="00E27AE1"/>
    <w:rsid w:val="00E3043E"/>
    <w:rsid w:val="00E4434A"/>
    <w:rsid w:val="00E4646D"/>
    <w:rsid w:val="00E51361"/>
    <w:rsid w:val="00E55C91"/>
    <w:rsid w:val="00E57B5B"/>
    <w:rsid w:val="00E6008C"/>
    <w:rsid w:val="00E624B7"/>
    <w:rsid w:val="00E87F55"/>
    <w:rsid w:val="00E9017C"/>
    <w:rsid w:val="00E914E4"/>
    <w:rsid w:val="00EA091E"/>
    <w:rsid w:val="00EB469A"/>
    <w:rsid w:val="00EC2B9F"/>
    <w:rsid w:val="00ED1E31"/>
    <w:rsid w:val="00EF7029"/>
    <w:rsid w:val="00F043B0"/>
    <w:rsid w:val="00F11B2C"/>
    <w:rsid w:val="00F40EB0"/>
    <w:rsid w:val="00F45736"/>
    <w:rsid w:val="00F50032"/>
    <w:rsid w:val="00F517EF"/>
    <w:rsid w:val="00F5381F"/>
    <w:rsid w:val="00F54E87"/>
    <w:rsid w:val="00F73970"/>
    <w:rsid w:val="00F75176"/>
    <w:rsid w:val="00F77944"/>
    <w:rsid w:val="00F95703"/>
    <w:rsid w:val="00FA4FFC"/>
    <w:rsid w:val="00FA57A7"/>
    <w:rsid w:val="00FB00C0"/>
    <w:rsid w:val="00FC4491"/>
    <w:rsid w:val="00FC7DB2"/>
    <w:rsid w:val="00FD0E40"/>
    <w:rsid w:val="00FD3121"/>
    <w:rsid w:val="00FD4566"/>
    <w:rsid w:val="00FE1670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BB60C9"/>
  <w15:docId w15:val="{94A4F531-A704-4EE0-A0BB-B62418E6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F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F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FFC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FA4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FFC"/>
    <w:pPr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FFC"/>
    <w:rPr>
      <w:rFonts w:ascii="Calibri" w:eastAsia="Times New Roman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FA4F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FC"/>
    <w:rPr>
      <w:rFonts w:ascii="Segoe UI" w:eastAsiaTheme="minorHAns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42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42"/>
    <w:rPr>
      <w:rFonts w:ascii="Calibri" w:eastAsiaTheme="minorHAnsi" w:hAnsi="Calibri" w:cs="Times New Roman"/>
      <w:b/>
      <w:bCs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559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59D"/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95092A"/>
    <w:rPr>
      <w:color w:val="0000FF"/>
      <w:u w:val="single"/>
    </w:rPr>
  </w:style>
  <w:style w:type="table" w:styleId="Tabela-Siatka">
    <w:name w:val="Table Grid"/>
    <w:basedOn w:val="Standardowy"/>
    <w:uiPriority w:val="39"/>
    <w:rsid w:val="00C052D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D4566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FD4566"/>
    <w:pPr>
      <w:ind w:left="720"/>
    </w:pPr>
    <w:rPr>
      <w:rFonts w:ascii="Calibri" w:eastAsiaTheme="minorEastAsia" w:hAnsi="Calibri"/>
      <w:sz w:val="22"/>
      <w:szCs w:val="22"/>
      <w:lang w:eastAsia="zh-CN"/>
    </w:rPr>
  </w:style>
  <w:style w:type="character" w:customStyle="1" w:styleId="bwuline">
    <w:name w:val="bwuline"/>
    <w:basedOn w:val="Domylnaczcionkaakapitu"/>
    <w:rsid w:val="007A3967"/>
  </w:style>
  <w:style w:type="character" w:customStyle="1" w:styleId="apple-converted-space">
    <w:name w:val="apple-converted-space"/>
    <w:basedOn w:val="Domylnaczcionkaakapitu"/>
    <w:rsid w:val="007A3967"/>
  </w:style>
  <w:style w:type="paragraph" w:customStyle="1" w:styleId="bwalignc">
    <w:name w:val="bwalignc"/>
    <w:basedOn w:val="Normalny"/>
    <w:rsid w:val="001978A2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Poprawka">
    <w:name w:val="Revision"/>
    <w:hidden/>
    <w:uiPriority w:val="99"/>
    <w:semiHidden/>
    <w:rsid w:val="00E15F5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bristol-myers-squibb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ms.com/" TargetMode="External"/><Relationship Id="rId17" Type="http://schemas.openxmlformats.org/officeDocument/2006/relationships/hyperlink" Target="https://www.instagram.com/bristolmyerssquib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BristolMyersSquibb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jFf4oKibYrHae2NZ_GPS6g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witter.com/bmsnew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4FBD0EF6344282D2A6B5A41CE740" ma:contentTypeVersion="13" ma:contentTypeDescription="Create a new document." ma:contentTypeScope="" ma:versionID="c29df518a341138b122b05f43772a428">
  <xsd:schema xmlns:xsd="http://www.w3.org/2001/XMLSchema" xmlns:xs="http://www.w3.org/2001/XMLSchema" xmlns:p="http://schemas.microsoft.com/office/2006/metadata/properties" xmlns:ns3="42a8c8f4-2b3f-487c-a2c0-52867899e17f" xmlns:ns4="f277241c-0a06-40ed-80e7-db15976b983c" targetNamespace="http://schemas.microsoft.com/office/2006/metadata/properties" ma:root="true" ma:fieldsID="64329635699c4bd936a03e493d7751ef" ns3:_="" ns4:_="">
    <xsd:import namespace="42a8c8f4-2b3f-487c-a2c0-52867899e17f"/>
    <xsd:import namespace="f277241c-0a06-40ed-80e7-db15976b9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c8f4-2b3f-487c-a2c0-52867899e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241c-0a06-40ed-80e7-db15976b9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590A-82D1-420B-B180-56519E56A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752DF-6CA0-46D7-A5D1-F9889B9B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c8f4-2b3f-487c-a2c0-52867899e17f"/>
    <ds:schemaRef ds:uri="f277241c-0a06-40ed-80e7-db15976b9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801B1-E352-4480-AFCC-CDDBAD987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7096A-5B53-4188-9351-D3497181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2388</Words>
  <Characters>14329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Rutstein, Mark</dc:creator>
  <cp:lastModifiedBy>Przastek, Ewelina</cp:lastModifiedBy>
  <cp:revision>3</cp:revision>
  <cp:lastPrinted>2020-05-13T17:18:00Z</cp:lastPrinted>
  <dcterms:created xsi:type="dcterms:W3CDTF">2020-06-09T08:21:00Z</dcterms:created>
  <dcterms:modified xsi:type="dcterms:W3CDTF">2020-06-09T08:21:00Z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0x01010057AF4FBD0EF6344282D2A6B5A41CE740</vt:lpwstr>
  </property>
</Properties>
</file>